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document.xml" ContentType="application/vnd.openxmlformats-officedocument.wordprocessingml.document.main+xml"/>
  <Override PartName="/word/theme/theme1.xml" ContentType="application/vnd.openxmlformats-officedocument.theme+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spacing w:before="240" w:after="120"/>
        <w:rPr/>
      </w:pPr>
      <w:r>
        <w:rPr/>
        <w:t>Critical realism and social systems thinking for case study research</w:t>
      </w:r>
    </w:p>
    <w:p>
      <w:pPr>
        <w:pStyle w:val="TextBody"/>
        <w:rPr>
          <w:rFonts w:ascii="FreeSans" w:hAnsi="FreeSans"/>
        </w:rPr>
      </w:pPr>
      <w:r>
        <w:rPr>
          <w:rFonts w:ascii="FreeSans" w:hAnsi="FreeSans"/>
        </w:rPr>
      </w:r>
    </w:p>
    <w:p>
      <w:pPr>
        <w:pStyle w:val="Subtitle"/>
        <w:rPr/>
      </w:pPr>
      <w:r>
        <w:rPr>
          <w:b/>
          <w:bCs/>
        </w:rPr>
        <w:t>Hallwright, Joshua</w:t>
      </w:r>
      <w:r>
        <w:rPr/>
        <w:t xml:space="preserve"> </w:t>
      </w:r>
      <w:r>
        <w:rPr>
          <w:i/>
          <w:iCs/>
        </w:rPr>
        <w:t>RMIT University</w:t>
      </w:r>
    </w:p>
    <w:p>
      <w:pPr>
        <w:pStyle w:val="TextBody"/>
        <w:rPr>
          <w:rFonts w:ascii="FreeSans" w:hAnsi="FreeSans"/>
        </w:rPr>
      </w:pPr>
      <w:r>
        <w:rPr>
          <w:rFonts w:ascii="FreeSans" w:hAnsi="FreeSans"/>
        </w:rPr>
      </w:r>
    </w:p>
    <w:p>
      <w:pPr>
        <w:pStyle w:val="TextBody"/>
        <w:rPr>
          <w:rFonts w:ascii="FreeSans" w:hAnsi="FreeSans"/>
        </w:rPr>
      </w:pPr>
      <w:r>
        <w:rPr>
          <w:rFonts w:ascii="FreeSans" w:hAnsi="FreeSans"/>
        </w:rPr>
      </w:r>
    </w:p>
    <w:p>
      <w:pPr>
        <w:pStyle w:val="Heading1"/>
        <w:numPr>
          <w:ilvl w:val="0"/>
          <w:numId w:val="1"/>
        </w:numPr>
        <w:rPr/>
      </w:pPr>
      <w:r>
        <w:rPr/>
        <w:t>Introduction</w:t>
      </w:r>
    </w:p>
    <w:p>
      <w:pPr>
        <w:pStyle w:val="TextBody"/>
        <w:spacing w:lineRule="auto" w:line="360"/>
        <w:jc w:val="both"/>
        <w:rPr>
          <w:rFonts w:ascii="FreeSans" w:hAnsi="FreeSans"/>
        </w:rPr>
      </w:pPr>
      <w:r>
        <w:rPr>
          <w:rFonts w:ascii="FreeSans" w:hAnsi="FreeSans"/>
        </w:rPr>
        <w:t xml:space="preserve">Case study research is a general method that can be applied regardless of theoretical or philosophical position. However, method must always be appropriate to the object of the research and thus when case study research is applied in the social sciences, specific epistemological, ontological and philosophical positions become important. The social sciences are those which have humans and our engagement with the world as the objects of study. As objects of research, humans are uniquely capable of being aware that they are being studied. This adds further complexity to researching humans, forcing much of social science to grapple with this complexity. This paper argues that when the case study method is applied in the social sciences, social systems theory makes for a strong theoretical grounding to cope with such complexity. This allows cases of social objects to be re-framed as social systems and thus the analytical tools of social systems thinking can be applied to explain the object of study. Furthermore, this paper argues that a specifically critical realist philosophical position provides the most appropriate approach to using social systems theory when researching case studies in the social sciences, strengthening the link between method, theory and philosophy. This paper contributes to the literature by linking social systems thinking to case study research from a critical realist perspective. Concluding remarks will summarise why taking this approach to case study research is most useful to researchers seeking to understand how and why particular events occur in the cases under inquiry. </w:t>
      </w:r>
      <w:r>
        <w:br w:type="page"/>
      </w:r>
    </w:p>
    <w:p>
      <w:pPr>
        <w:pStyle w:val="Heading2"/>
        <w:numPr>
          <w:ilvl w:val="1"/>
          <w:numId w:val="1"/>
        </w:numPr>
        <w:rPr>
          <w:rFonts w:ascii="Calibri" w:hAnsi="Calibri" w:cs="Calibri" w:asciiTheme="minorHAnsi" w:cstheme="minorHAnsi" w:hAnsiTheme="minorHAnsi"/>
          <w:lang w:val="en-GB"/>
        </w:rPr>
      </w:pPr>
      <w:r>
        <w:rPr/>
        <w:t xml:space="preserve">Case study research </w:t>
      </w:r>
    </w:p>
    <w:p>
      <w:pPr>
        <w:pStyle w:val="TextBody"/>
        <w:spacing w:lineRule="auto" w:line="360" w:before="285" w:after="285"/>
        <w:jc w:val="both"/>
        <w:rPr>
          <w:rFonts w:ascii="FreeSans" w:hAnsi="FreeSans"/>
        </w:rPr>
      </w:pPr>
      <w:r>
        <w:rPr>
          <w:rFonts w:ascii="FreeSans" w:hAnsi="FreeSans"/>
        </w:rPr>
        <w:t xml:space="preserve">Case study research is used to examine one, or a small number, of social entities in-depth and holistically (Guthrie, 2010). To use statistical language, n = 1 or a similarly small number. In the social sciences, a case study might focus on the historical development of a particular country or the behaviour of a specific firm within the marketing industry or the spread of a certain political idea. The difference between case study research in the natural and social sciences is that in the latter, humans are the object of inquiry (Woodside, 2010). As we are able to think and act independently of the researchers’ intentions, this adds a layer of significant complexity for the social science researcher in comparison to natural science researchers (Mingers, 2011). </w:t>
      </w:r>
    </w:p>
    <w:p>
      <w:pPr>
        <w:pStyle w:val="TextBody"/>
        <w:spacing w:lineRule="auto" w:line="360" w:before="285" w:after="285"/>
        <w:jc w:val="both"/>
        <w:rPr>
          <w:rFonts w:ascii="FreeSans" w:hAnsi="FreeSans"/>
        </w:rPr>
      </w:pPr>
      <w:r>
        <w:rPr>
          <w:rFonts w:ascii="FreeSans" w:hAnsi="FreeSans"/>
        </w:rPr>
        <w:t xml:space="preserve">A case study “involves investigating one or a small number of social entities or situations about which data are collected using multiple sources of data” (Easton, 2010, 119). “The purpose of case studies is to explore causal mechanisms at the heart of theories” (Goertz, 2017, 1). Researchers use the case study method to gain a greater understanding of how and why something happened, to explain a specific event. Case studies are useful to peel back layers of complexity to understand the various parts of the case, how they relate to each other and how these parts and relationships interact with their context to produce specific events or behaviours (Easton, 2010). </w:t>
      </w:r>
    </w:p>
    <w:p>
      <w:pPr>
        <w:pStyle w:val="TextBody"/>
        <w:spacing w:lineRule="auto" w:line="360" w:before="285" w:after="285"/>
        <w:jc w:val="both"/>
        <w:rPr>
          <w:rFonts w:ascii="FreeSans" w:hAnsi="FreeSans"/>
        </w:rPr>
      </w:pPr>
      <w:r>
        <w:rPr>
          <w:rFonts w:ascii="FreeSans" w:hAnsi="FreeSans"/>
        </w:rPr>
        <w:t xml:space="preserve">As can be seen in the Goertz quote, case study research is about examining the causal mechanisms in a complex social entity, or how and why particular events emerged at a specific time under certain conditions. The case study method is used by theorists of many different persuasions and can thus be considered theory-agnostic (Woodside, 2010). However, theories that recognise the object of study as what it is – complex – are best placed to provide the most research value when using case studies as a research method. </w:t>
      </w:r>
    </w:p>
    <w:p>
      <w:pPr>
        <w:pStyle w:val="TextBody"/>
        <w:spacing w:lineRule="auto" w:line="360"/>
        <w:jc w:val="both"/>
        <w:rPr>
          <w:rFonts w:ascii="FreeSans" w:hAnsi="FreeSans"/>
        </w:rPr>
      </w:pPr>
      <w:r>
        <w:rPr>
          <w:rFonts w:ascii="FreeSans" w:hAnsi="FreeSans"/>
        </w:rPr>
        <w:t xml:space="preserve">This paper will focus on its application in the social sciences, including political science. Treating each case as a system provides a framework for investigating the complexity of each case (system), delving deeper to explain how things happen. </w:t>
      </w:r>
    </w:p>
    <w:p>
      <w:pPr>
        <w:pStyle w:val="Heading2"/>
        <w:numPr>
          <w:ilvl w:val="1"/>
          <w:numId w:val="1"/>
        </w:numPr>
        <w:rPr/>
      </w:pPr>
      <w:r>
        <w:rPr/>
        <w:t xml:space="preserve">Social systems thinking and case study research </w:t>
      </w:r>
    </w:p>
    <w:p>
      <w:pPr>
        <w:pStyle w:val="TextBody"/>
        <w:spacing w:lineRule="auto" w:line="360" w:before="285" w:after="285"/>
        <w:jc w:val="both"/>
        <w:rPr>
          <w:rFonts w:ascii="FreeSans" w:hAnsi="FreeSans"/>
        </w:rPr>
      </w:pPr>
      <w:r>
        <w:rPr>
          <w:rFonts w:ascii="FreeSans" w:hAnsi="FreeSans"/>
        </w:rPr>
        <w:t xml:space="preserve">Social systems thinking refers to a broad category of related theories that explicitly deal with complex social entities (Edson et al., 2017). They have in common the social world as their object of inquiry. ‘Social systems thinking’ will be used in this paper to refer to all those theories and approaches based in complex systems theory that focus on the social world, or aspects of it (Stewart and Ayres, 2001). The arguments regarding social systems thinking and its applicability to case study research as well as the argument that critical realism provides the best philosophical foundations for it hold true for all the theories encompassed by ‘social systems thinking’ and thus the term will be used for the sake of clarity. </w:t>
      </w:r>
    </w:p>
    <w:p>
      <w:pPr>
        <w:pStyle w:val="TextBody"/>
        <w:spacing w:lineRule="auto" w:line="360" w:before="285" w:after="285"/>
        <w:jc w:val="both"/>
        <w:rPr>
          <w:rFonts w:ascii="FreeSans" w:hAnsi="FreeSans"/>
        </w:rPr>
      </w:pPr>
      <w:r>
        <w:rPr>
          <w:rFonts w:ascii="FreeSans" w:hAnsi="FreeSans"/>
        </w:rPr>
        <w:t xml:space="preserve">Social systems thinking is a subset of more general systems thinking that has developed over the last century. The basic tenet of systems thinking is that “we cannot explain the behaviour of objects and entities purely in terms of the nature and constitution of their parts or components. Rather, the parts are related together in such a way that the whole has behaviours or, more generally, properties that are distinct from, and irreducible to, the properties of the parts” (Mingers, 2011, 304). This emerged in the early twentieth century in biology, ecology, quantum physics and other disciplines. In the mid to late twentieth century, ‘soft’ systems thinking calved off of the older ‘hard’ systems thinking to form second-order cybernetics or ‘social systems thinking’. This made explicit the unavoidable role of the observer in observing any system behaviour and also that the objects of study in social systems – humans – bestowed their own understanding and meaning of the system to which they were apart (Mingers, 2014). </w:t>
      </w:r>
    </w:p>
    <w:p>
      <w:pPr>
        <w:pStyle w:val="TextBody"/>
        <w:spacing w:lineRule="auto" w:line="360" w:before="285" w:after="285"/>
        <w:jc w:val="both"/>
        <w:rPr>
          <w:rFonts w:ascii="FreeSans" w:hAnsi="FreeSans"/>
        </w:rPr>
      </w:pPr>
      <w:r>
        <w:rPr>
          <w:rFonts w:ascii="FreeSans" w:hAnsi="FreeSans"/>
        </w:rPr>
        <w:t xml:space="preserve">Starting from a social systems approach, cases can be re-framed as systems. This is not such a large stretch as it may seem at first. When using case studies as a research method, the researcher must delineate the case from its environment, she must define the boundaries of the object under study and by doing so separates it analytically from its context (Guthrie, 2010). Once defined, the researcher needs to describe the components of the case and how they relate to each other. This then enables the case study researcher to begin to analyse how and why the events under inquiry came about. The social systems researcher follows the same steps in setting boundaries of the systems, describing its actors, relations, and structures (Stewart and Ayres, 2001). The value in re-framing a case as a system comes when drawing upon the analytical tools of social systems thinking to gain greater understanding of the how and why in the case under question. </w:t>
      </w:r>
    </w:p>
    <w:p>
      <w:pPr>
        <w:pStyle w:val="TextBody"/>
        <w:spacing w:lineRule="auto" w:line="360" w:before="285" w:after="285"/>
        <w:jc w:val="both"/>
        <w:rPr>
          <w:rFonts w:ascii="FreeSans" w:hAnsi="FreeSans"/>
        </w:rPr>
      </w:pPr>
      <w:r>
        <w:rPr>
          <w:rFonts w:ascii="FreeSans" w:hAnsi="FreeSans"/>
        </w:rPr>
        <w:t xml:space="preserve">Social systems thinking provides rigour to understanding and explaining cases (hereon, ‘systems’) through its constructs: feedback, emergence, relations, actors, structures, and nested systems. As Mingers (2014, 306) states “[t]he central systemic idea – that the characteristics and behaviour of entities depended on the structure of relationships between components rather than the properties of the components themselves – carries with it several other concepts – emergence, hierarchy…and boundaries” [emphasis in the original]. </w:t>
      </w:r>
    </w:p>
    <w:p>
      <w:pPr>
        <w:pStyle w:val="TextBody"/>
        <w:spacing w:lineRule="auto" w:line="360" w:before="285" w:after="285"/>
        <w:jc w:val="both"/>
        <w:rPr>
          <w:rFonts w:ascii="FreeSans" w:hAnsi="FreeSans"/>
        </w:rPr>
      </w:pPr>
      <w:r>
        <w:rPr>
          <w:rFonts w:ascii="FreeSans" w:hAnsi="FreeSans"/>
        </w:rPr>
        <w:t xml:space="preserve">The emphasis on relationships between the system’s components has two major implications. The first may be summarised as ‘no [wo]man is an island’ that is, that no-one exists in isolation and it is thus their interactions with others that impact a system’s behaviour not the isolated behaviour of individuals (as this is impossible). Importantly, this is in marked contrast to the concepts which support statistical analyses that divide interactions in to dependent and independent variables – in social systems thinking (and critical realism) there cannot be any independent variable…all variables (entities) are dependent (Lawson, 2015; Mingers, 2014). In case study research of social systems, this shifts the emphasis from focusing on individual actor’s nature, characteristics, and behaviour to considering how individuals (and others) relate to each other. This is in keeping with the ontological statement that humans are social animals, a seemingly historical truth. </w:t>
      </w:r>
    </w:p>
    <w:p>
      <w:pPr>
        <w:pStyle w:val="TextBody"/>
        <w:spacing w:lineRule="auto" w:line="360" w:before="285" w:after="285"/>
        <w:jc w:val="both"/>
        <w:rPr>
          <w:rFonts w:ascii="FreeSans" w:hAnsi="FreeSans"/>
        </w:rPr>
      </w:pPr>
      <w:r>
        <w:rPr>
          <w:rFonts w:ascii="FreeSans" w:hAnsi="FreeSans"/>
        </w:rPr>
        <w:t xml:space="preserve">The second major implication of emphasising relationships is that of emergence, best summed up as ‘the whole is greater than the sum of its parts’ (Edson et al., 2017). This central idea of social systems thinking stands in stark contrast to traditional additive views, such as Margaret Thatcher’s famous remark: “And, you know, there's no such thing as society. There are individual men and women and there are families” (Ratcliffe, 2016). Systems thinking states that there is such a thing as society, and that is different than just an amalgamation of individuals and families. </w:t>
      </w:r>
    </w:p>
    <w:p>
      <w:pPr>
        <w:pStyle w:val="TextBody"/>
        <w:spacing w:lineRule="auto" w:line="360" w:before="285" w:after="285"/>
        <w:jc w:val="both"/>
        <w:rPr>
          <w:rFonts w:ascii="FreeSans" w:hAnsi="FreeSans"/>
        </w:rPr>
      </w:pPr>
      <w:r>
        <w:rPr>
          <w:rFonts w:ascii="FreeSans" w:hAnsi="FreeSans"/>
        </w:rPr>
        <w:t xml:space="preserve">Emergence then introduces the idea of ‘nested systems’, or the idea that there a whole systems within other whole systems (Edson et al., 2017). To continue the example above, society is a system that comprises other systems, such as a nation-state, which comprise further systems, such as industries, which comprise businesses, etc. Importantly, emergence is not a reductionist view; systems can emerge from the interactions of particular agents and structures but they are not reducible to those agents and structures (Mingers, 2011). The human body is a good example of emergence: the atoms in a nerve cell interact with other nerve cells and nerve structures to form a nervous system that interacts with the digestive, musclo-skeletal, and lymphatic systems to emerge as a human body, which is more than just the arrangement of said systems. </w:t>
      </w:r>
    </w:p>
    <w:p>
      <w:pPr>
        <w:pStyle w:val="TextBody"/>
        <w:spacing w:lineRule="auto" w:line="360" w:before="285" w:after="285"/>
        <w:jc w:val="both"/>
        <w:rPr>
          <w:rFonts w:ascii="FreeSans" w:hAnsi="FreeSans"/>
        </w:rPr>
      </w:pPr>
      <w:r>
        <w:rPr>
          <w:rFonts w:ascii="FreeSans" w:hAnsi="FreeSans"/>
        </w:rPr>
        <w:t xml:space="preserve">Another major feature of systems thinking is ‘feedback’, a process in which actions and events reinforce each other (positive feedback) or tend to ‘cancel each other out’ (negative feedback) (Mingers, 2014). Feedback helps to explain non-linear behaviour and how small changes in a system can result in non-proportional changes, such as ‘the butterfly effect’. It also helps in analysing ‘balance of power’ situations in which changes within a system do not fundamentally change the behaviour of the overall system, an illustrative example from natural science is the thermostat, or the Cold War from social science (Mingers, 2014; Hughes, 2016). </w:t>
      </w:r>
    </w:p>
    <w:p>
      <w:pPr>
        <w:pStyle w:val="TextBody"/>
        <w:spacing w:lineRule="auto" w:line="360" w:before="285" w:after="285"/>
        <w:jc w:val="both"/>
        <w:rPr>
          <w:rFonts w:ascii="FreeSans" w:hAnsi="FreeSans"/>
        </w:rPr>
      </w:pPr>
      <w:r>
        <w:rPr>
          <w:rFonts w:ascii="FreeSans" w:hAnsi="FreeSans"/>
        </w:rPr>
        <w:t xml:space="preserve">This paper has demonstrated the value in taking a social systems approach to case study research in the social sciences. We can see the strong link between the object of study – society, complex by its nature – to a theory that can account for complexity – social systems thinking. The missing link is to a philosophy of science that can not only provide the philosophical foundations to case study research but provide a holistic philosophical grounding for social systems thinking (Mingers, 2014). </w:t>
      </w:r>
    </w:p>
    <w:p>
      <w:pPr>
        <w:pStyle w:val="Heading2"/>
        <w:numPr>
          <w:ilvl w:val="1"/>
          <w:numId w:val="1"/>
        </w:numPr>
        <w:rPr/>
      </w:pPr>
      <w:r>
        <w:rPr/>
        <w:t xml:space="preserve">Critical realism </w:t>
      </w:r>
    </w:p>
    <w:p>
      <w:pPr>
        <w:pStyle w:val="TextBody"/>
        <w:spacing w:lineRule="auto" w:line="360" w:before="285" w:after="285"/>
        <w:jc w:val="both"/>
        <w:rPr>
          <w:rFonts w:ascii="FreeSans" w:hAnsi="FreeSans"/>
        </w:rPr>
      </w:pPr>
      <w:r>
        <w:rPr>
          <w:rFonts w:ascii="FreeSans" w:hAnsi="FreeSans"/>
        </w:rPr>
        <w:t xml:space="preserve">Critical realism provides a useful and thorough philosophical underpinning for both social systems thinking and case study research. Critical realism is a relatively new philosophy of science, emerging in the 1970s with Roy Bhaskar’s two seminal texts: A Realist Theory of Science (Bhaskar, 1975) and The Possibility of Naturalism (Bhaskar, 1998). It has been further developed in recent decades in many different disciplines: economics (Lawson, 2015), sociology (Sayer, 2010), criminology (Pawson &amp; Tilley, 1994), information studies (Mingers, 2014), and feminist research (Parr, 2015). There has been only limited work in developing critical realism as a foundation for case study research (Wynn and Williams, 2012; Easton, 2010) and for social systems theory (Mingers, 2011; 2014). This paper contributes to this knowledge gap through a holistic approach to both. </w:t>
      </w:r>
    </w:p>
    <w:p>
      <w:pPr>
        <w:pStyle w:val="TextBody"/>
        <w:spacing w:lineRule="auto" w:line="360" w:before="285" w:after="285"/>
        <w:jc w:val="both"/>
        <w:rPr>
          <w:rFonts w:ascii="FreeSans" w:hAnsi="FreeSans"/>
        </w:rPr>
      </w:pPr>
      <w:r>
        <w:rPr>
          <w:rFonts w:ascii="FreeSans" w:hAnsi="FreeSans"/>
        </w:rPr>
        <w:t xml:space="preserve">Critical realism posits that the purpose of science is to explain causal mechanisms (Bhaskar, 1975). This is in contrast to the positivist tradition that seeks to demonstrate cause and effect through regular associations of events and is also in contrast to the relativist tradition that seeks to understand the meaning of reality rather than explain reality (Sayer, 2010). Critical realism states that there is a real, objective world that exists independently of humans however acknowledges that much of the world is socially constructed. Put differently, the world is predominantly socially constructed but not entirely so. Additionally, critical realists are clear that all scientific knowledge is fallible, theory-laden (but not theory-dependent), and context-dependent (Easton, 2010; Sayer, 2010; Wynn and Williams, 2012). </w:t>
      </w:r>
    </w:p>
    <w:p>
      <w:pPr>
        <w:pStyle w:val="TextBody"/>
        <w:spacing w:lineRule="auto" w:line="360" w:before="285" w:after="285"/>
        <w:jc w:val="both"/>
        <w:rPr>
          <w:rFonts w:ascii="FreeSans" w:hAnsi="FreeSans"/>
        </w:rPr>
      </w:pPr>
      <w:r>
        <w:rPr>
          <w:rFonts w:ascii="FreeSans" w:hAnsi="FreeSans"/>
        </w:rPr>
        <w:t xml:space="preserve">Critical realism emphasises the nature of things (ontology), removing the epistemic fallacy, and focusing on causality and causal mechanisms. Bhaskar (1975; 1998) and others argue that positivists suffer the epistemic fallacy, equating that which is real with that which can be observed (Sayer, 2010; Danermark et al., 2012; Lawson, 2015). This conflates ontology (the nature of reality) with epistemology (how we can know reality). This fallacy is removed by critical realists’ view that reality is layered: there is the real domain, the actual and the empirical (Bhaskar, 1998). The real domain consists of the causal mechanisms that interact with specific contexts to produce events in the actual domain, and those events that are observed in the empirical domain. Causal mechanisms may only produce events under certain, rare conditions as well as producing events more regularly or commonly. The causal reasoning used in critical realist research is thus retroductive – working backwards from the event to explain what must have been in place for the event to have happened (Danermark et al., 2012). This is in contrast to more traditional causal inferences, such as deductive or inductive reasoning that, in the view of critical realists, are unable to explain causality, only demonstrating patterns of behaviour and events (Sayer, 2010). </w:t>
      </w:r>
    </w:p>
    <w:p>
      <w:pPr>
        <w:pStyle w:val="TextBody"/>
        <w:spacing w:lineRule="auto" w:line="360" w:before="285" w:after="285"/>
        <w:jc w:val="both"/>
        <w:rPr>
          <w:rFonts w:ascii="FreeSans" w:hAnsi="FreeSans"/>
        </w:rPr>
      </w:pPr>
      <w:r>
        <w:rPr>
          <w:rFonts w:ascii="FreeSans" w:hAnsi="FreeSans"/>
        </w:rPr>
        <w:t xml:space="preserve">By emphasising the nature of things as critical to explaining the world, critical realists argue that each entity has causal powers and liabilities which are specific sets of causal mechanisms (Bhaskar, 1998; Easton, 2010; Sayer, 2010). The interactions of entities under certain conditions can thus produce something new that is emergent, i.e. entities are more than the sum of their parts. Emergent entities are not just specific arrangements of other entities but are rather new things born from the specific interactions of the causal powers of the lower-order entities but which can’t be reduced to those lower-order entities (Bhaskar, 1998; Mingers, 2014). Consciousness is a case in point as is society (Easton, 2010). Thus the ontological assumptions of critical realists mean that the relations between entities are important. Critical realists divide these in two: necessary relations and contingent relations. Necessary relations are those that must exist for a specific entity to exist, e.g. a slave has a necessary relation with a master – one cannot exist without the other. Contingent relations are when the relations between entities are neither necessary nor impossible (Sayer, 2010). Finally, critical realists solve the agent-structure debate by showing the interconnected nature between them, i.e. that they are necessarily related and that each informs that other. Agents must have structure to exist within and that their actions continually re-create and modify the structure. Structure cannot exist without agents, enabling and limiting agents’ behaviour (Bhaskar, 1998; Sayer, 2010). These fundamental critical realist positions provide strong philosophical underpinnings of social systems thinking and, in turn, case study research. </w:t>
      </w:r>
    </w:p>
    <w:p>
      <w:pPr>
        <w:pStyle w:val="Heading2"/>
        <w:numPr>
          <w:ilvl w:val="1"/>
          <w:numId w:val="1"/>
        </w:numPr>
        <w:rPr/>
      </w:pPr>
      <w:r>
        <w:rPr/>
        <w:t xml:space="preserve">Critical realism, social systems thinking and case study research </w:t>
      </w:r>
    </w:p>
    <w:p>
      <w:pPr>
        <w:pStyle w:val="TextBody"/>
        <w:spacing w:lineRule="auto" w:line="360" w:before="285" w:after="285"/>
        <w:jc w:val="both"/>
        <w:rPr>
          <w:rFonts w:ascii="FreeSans" w:hAnsi="FreeSans"/>
        </w:rPr>
      </w:pPr>
      <w:r>
        <w:rPr>
          <w:rFonts w:ascii="FreeSans" w:hAnsi="FreeSans"/>
        </w:rPr>
        <w:t xml:space="preserve">The agent-structure explanation and the emphasis on necessary and contingent relations support analysis of the parts of a system, how they interact and why they do so without taking a reductionist approach (Mingers, 2014). The critical realist concept of emergence helps explain why emergence happens in social systems thinking. Drawing a boundary around a specific set of agent-structure relations can define them as a system. This can be replicated to define many systems and then further analysed as a system of systems, or a conceptualisation of nested systems. Each entity within each system has its own causal powers, as does each system. Furthermore, each entity is either necessarily or contingently related to others – there can be no independent variable…all variables (or, entities) are dependent on others either necessarily so or contingently so (Sayer, 2010). As these combine in novel ways, new emergent systems may be produced that cannot be reduced to their component parts. These concepts can then assist case study researchers seeking to explain particular events and behaviours of a system by focussing the attention on the nature of the entities, how they are related to each other, and what causal powers they possess. </w:t>
      </w:r>
    </w:p>
    <w:p>
      <w:pPr>
        <w:pStyle w:val="TextBody"/>
        <w:spacing w:lineRule="auto" w:line="360" w:before="285" w:after="285"/>
        <w:jc w:val="both"/>
        <w:rPr>
          <w:rFonts w:ascii="FreeSans" w:hAnsi="FreeSans"/>
        </w:rPr>
      </w:pPr>
      <w:r>
        <w:rPr>
          <w:rFonts w:ascii="FreeSans" w:hAnsi="FreeSans"/>
        </w:rPr>
        <w:t xml:space="preserve">Critical realism nicely ties together the emphasis of social systems and case study research on defining the boundaries of the system under study and suggests concrete research steps (Easton, 2010). The researcher must analyse the component parts of the system, or the entities of it, to not only understand each of their natures but also to understand how they are related. Furthermore, critical realist ideas of the fallibility of scientific knowledge support the consideration in both social systems thinking and in case study research of the specific context in which the system under question operates. Explaining how the system interacts with its context is thus a central research goal, highlighting how they mutually shape each other (Mingers, 2014). </w:t>
      </w:r>
    </w:p>
    <w:p>
      <w:pPr>
        <w:pStyle w:val="TextBody"/>
        <w:spacing w:lineRule="auto" w:line="360" w:before="285" w:after="285"/>
        <w:jc w:val="both"/>
        <w:rPr>
          <w:rFonts w:ascii="FreeSans" w:hAnsi="FreeSans"/>
        </w:rPr>
      </w:pPr>
      <w:r>
        <w:rPr>
          <w:rFonts w:ascii="FreeSans" w:hAnsi="FreeSans"/>
        </w:rPr>
        <w:t xml:space="preserve">The social systems thinking concept of feedback, both positive and negative, can also be illuminated by the critical realist idea of causal mechanisms. The interactions between necessary or contingently related entities and the context in which they operate can produce non-linear, non-additive outcomes (Sayer, 2010). Positive feedback is often surprising in its implications in social systems as a few small events can trigger much larger, longer-term, significant changes. Critical realism steers the focus away from the specific events to the reasons why and how those events occurred, delving much deeper in to explaining how specific cases or systems act and behave. Put another way, the ontological depth suggested in critical realism shows that just because something has not happened before (or more specifically, has not been observed to have happened before) does not necessarily mean that it can’t or that it shouldn’t have been possible. This is a particularly useful insight for case study researchers as they are often investigating the cause of events which have few or no precedents. </w:t>
      </w:r>
    </w:p>
    <w:p>
      <w:pPr>
        <w:pStyle w:val="Heading1"/>
        <w:numPr>
          <w:ilvl w:val="0"/>
          <w:numId w:val="1"/>
        </w:numPr>
        <w:rPr/>
      </w:pPr>
      <w:r>
        <w:rPr/>
        <w:t xml:space="preserve">Concluding remarks </w:t>
      </w:r>
    </w:p>
    <w:p>
      <w:pPr>
        <w:pStyle w:val="TextBody"/>
        <w:spacing w:lineRule="auto" w:line="360" w:before="285" w:after="285"/>
        <w:jc w:val="both"/>
        <w:rPr>
          <w:rFonts w:ascii="FreeSans" w:hAnsi="FreeSans"/>
        </w:rPr>
      </w:pPr>
      <w:r>
        <w:rPr>
          <w:rFonts w:ascii="FreeSans" w:hAnsi="FreeSans"/>
        </w:rPr>
        <w:t xml:space="preserve">This paper has shown that many of the key concepts of social systems thinking are relevant and useful to case study research and that they can be justified and explained from a critical realist philosophy of science. The strong relationship suggested between case study research, social systems thinking and critical realism can be shown in two directions of travel. Starting conceptually, philosophy informs theory which suggests method. In this paper, a critical realist philosophy of science provides the foundations for social systems theories which then suggest the specific case study method of research. Or, starting from the object of research – humans – then the method must be appropriate which then must be supported by a theoretical framework that rests upon strong philosophical foundations. In this paper, humans form the object of inquiry in case study research in the social sciences, the method of which is then supported by a social systems thinking framework which rests firmly upon critical realist foundations. This paper thus contributes to the literature by linking social systems thinking to case study research from a critical realist perspective. </w:t>
      </w:r>
    </w:p>
    <w:p>
      <w:pPr>
        <w:pStyle w:val="Heading2"/>
        <w:numPr>
          <w:ilvl w:val="1"/>
          <w:numId w:val="1"/>
        </w:numPr>
        <w:rPr/>
      </w:pPr>
      <w:r>
        <w:rPr/>
        <w:t xml:space="preserve">Acknowledgements </w:t>
      </w:r>
    </w:p>
    <w:p>
      <w:pPr>
        <w:pStyle w:val="TextBody"/>
        <w:spacing w:lineRule="auto" w:line="360" w:before="285" w:after="285"/>
        <w:rPr>
          <w:rFonts w:ascii="FreeSans" w:hAnsi="FreeSans"/>
        </w:rPr>
      </w:pPr>
      <w:r>
        <w:rPr>
          <w:rFonts w:ascii="FreeSans" w:hAnsi="FreeSans"/>
        </w:rPr>
        <w:t xml:space="preserve">This paper has been developed from my current research in to the financial systems used to fund disaster response as part of my PhD candidature at RMIT University. I’d like to thank one of my supervisors, Professor David Hudson, for introducing me to critical realism and to another, Professor John Handmer, for his guidance in academic writing. Furthermore, I’d like to thank my principal supervisor, Dr Charles T Hunt, for providing supportive guidance for this paper (and the PhD!) as well as furthering my understanding of systems thinking and related methods. Finally, none of this would be possible without the enduring love, trust and inspiration of Kathryn and Olivia – the greatest thanks to you both. </w:t>
      </w:r>
    </w:p>
    <w:p>
      <w:pPr>
        <w:pStyle w:val="Heading1"/>
        <w:numPr>
          <w:ilvl w:val="0"/>
          <w:numId w:val="1"/>
        </w:numPr>
        <w:rPr/>
      </w:pPr>
      <w:r>
        <w:rPr/>
      </w:r>
    </w:p>
    <w:p>
      <w:pPr>
        <w:pStyle w:val="Heading1"/>
        <w:numPr>
          <w:ilvl w:val="0"/>
          <w:numId w:val="1"/>
        </w:numPr>
        <w:rPr/>
      </w:pPr>
      <w:r>
        <w:rPr/>
        <w:t xml:space="preserve">References </w:t>
      </w:r>
    </w:p>
    <w:p>
      <w:pPr>
        <w:pStyle w:val="TextBody"/>
        <w:spacing w:lineRule="auto" w:line="360" w:before="0" w:after="0"/>
        <w:rPr>
          <w:rFonts w:ascii="FreeSans" w:hAnsi="FreeSans"/>
        </w:rPr>
      </w:pPr>
      <w:r>
        <w:rPr>
          <w:rFonts w:ascii="FreeSans" w:hAnsi="FreeSans"/>
        </w:rPr>
        <w:t xml:space="preserve">Bhaskar, R. (1975). A realist theory of science. York: Books.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Bhaskar, R. (1998). The possibility of naturalism: a philosophical critique of the contemporary human sciences (3rd ed). London ; New York: Routledge.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Danermark, B., Ekstrom, M., Jakobsen, L., &amp; Karlsson, J. C. (2012). Explaining society: an Introduction to critical realism in the social sciences. Hoboken: Taylor and Francis. Retrieved from http://public.eblib.com/choice/publicfullrecord.aspx?p=240636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Easton, G. (2010). Critical realism in case study research. Industrial Marketing Management, 39(1), 118–128. https://doi.org/10.1016/j.indmarman.2008.06.004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Edson, M. C., Buckle Henning, P., &amp; Sankaran, S. (Eds.). (2017). A Guide to Systems Research (Vol. 10). Singapore: Springer Singapore. https://doi.org/10.1007/978-981-10-0263-2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Goertz, G. (2017). Multimethod research, causal mechanisms, and case studies: An integrated approach. Princeton: Princeton University Press.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Guthrie, G. (2010). Basic research methods: An entry to social science research. SAGE Publications India.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Calibri" w:hAnsi="Calibri" w:cs="Calibri" w:asciiTheme="minorHAnsi" w:cstheme="minorHAnsi" w:hAnsiTheme="minorHAnsi"/>
          <w:lang w:val="en-GB"/>
        </w:rPr>
      </w:pPr>
      <w:r>
        <w:rPr>
          <w:rFonts w:ascii="FreeSans" w:hAnsi="FreeSans"/>
        </w:rPr>
        <w:t xml:space="preserve">Hughes, B. (2016). Thawing Ceteris Paribus: The Move to a Complex Systems Lens. In E. Brusset, C. de Coning, &amp; B. Hughes (Eds.), Complexity Thinking for Peacebuilding Practice and Evaluation (pp. 49–75). London: Palgrave Macmillan UK. https://doi.org/10.1057/978-1-137-60111-7_3 </w:t>
      </w:r>
    </w:p>
    <w:p>
      <w:pPr>
        <w:pStyle w:val="TextBody"/>
        <w:spacing w:lineRule="auto" w:line="360" w:before="0" w:after="0"/>
        <w:rPr>
          <w:rFonts w:ascii="FreeSans" w:hAnsi="FreeSans"/>
        </w:rPr>
      </w:pPr>
      <w:r>
        <w:rPr>
          <w:rFonts w:ascii="FreeSans" w:hAnsi="FreeSans"/>
        </w:rPr>
        <w:t xml:space="preserve">Lawson, T. (2015). Essays On: The Nature and State of Modern Economics. London, UNITED KINGDOM: Routledge. Retrieved from http://ebookcentral.proquest.com/lib/rmit/detail.action?docID=2028262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Mingers, J. (2011). The Contribution of Systemic Thought to Critical Realism. Journal of Critical Realism, 10(3), 303–330. https://doi.org/10.1558/jcr.v10i3.303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Mingers, J. (2014). Systems thinking, critical realism, and philosophy : a confluence of ideas. Florence: Taylor and Francis.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Parr, S. (2015). Integrating critical realist and feminist methodologies: ethical and analytical dilemmas. International Journal of Social Research Methodology, 18(2), 193–207. https://doi.org/10.1080/13645579.2013.868572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Pawson, R., &amp; Tilley, N. (1994). What works in evaluation research? The British Journal of Criminology, 34(3), 291–306.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Ratcliffe, S. (2016). Oxford essential quotations (4th ed.). Oxford University Press.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Sayer, A. (2010). Method in Social Science: Revised 2nd Edition. Florence, UNITED STATES: Taylor and Francis. Retrieved from http://ebookcentral.proquest.com/lib/rmit/detail.action?docID=488040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Stewart, J., &amp; Ayres, R. (2001). Systems theory and policy practice: An exploration. Policy Sciences, 34(1), 79–94.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 xml:space="preserve">Woodside, A. G. (2010). Case study research: theory, methods, practice. Bingley: Emerald. </w:t>
      </w:r>
    </w:p>
    <w:p>
      <w:pPr>
        <w:pStyle w:val="TextBody"/>
        <w:spacing w:lineRule="auto" w:line="360" w:before="0" w:after="0"/>
        <w:rPr>
          <w:rFonts w:ascii="Calibri" w:hAnsi="Calibri" w:cs="Calibri" w:asciiTheme="minorHAnsi" w:cstheme="minorHAnsi" w:hAnsiTheme="minorHAnsi"/>
          <w:lang w:val="en-GB"/>
        </w:rPr>
      </w:pPr>
      <w:r>
        <w:rPr>
          <w:rFonts w:ascii="FreeSans" w:hAnsi="FreeSans"/>
        </w:rPr>
      </w:r>
    </w:p>
    <w:p>
      <w:pPr>
        <w:pStyle w:val="TextBody"/>
        <w:spacing w:lineRule="auto" w:line="360" w:before="0" w:after="0"/>
        <w:rPr>
          <w:rFonts w:ascii="FreeSans" w:hAnsi="FreeSans"/>
        </w:rPr>
      </w:pPr>
      <w:r>
        <w:rPr>
          <w:rFonts w:ascii="FreeSans" w:hAnsi="FreeSans"/>
        </w:rPr>
        <w:t>Wynn, J. D., &amp; Williams, C. K. (2012). Principles for Conducting Critical Realist Case Study Research in Information Systems. MIS Quarterly, 36(3), 787–810.</w:t>
      </w:r>
    </w:p>
    <w:sectPr>
      <w:type w:val="nextPage"/>
      <w:pgSz w:w="11906" w:h="16838"/>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FreeSans">
    <w:charset w:val="01"/>
    <w:family w:val="swiss"/>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81"/>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en-AU"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jc w:val="left"/>
    </w:pPr>
    <w:rPr>
      <w:rFonts w:ascii="Calibri" w:hAnsi="Calibri" w:eastAsia="Calibri" w:cs="" w:asciiTheme="minorHAnsi" w:cstheme="minorBidi" w:eastAsiaTheme="minorHAnsi" w:hAnsiTheme="minorHAnsi"/>
      <w:color w:val="auto"/>
      <w:kern w:val="0"/>
      <w:sz w:val="24"/>
      <w:szCs w:val="24"/>
      <w:lang w:val="en-AU" w:eastAsia="en-US" w:bidi="ar-SA"/>
    </w:rPr>
  </w:style>
  <w:style w:type="paragraph" w:styleId="Heading1">
    <w:name w:val="Heading 1"/>
    <w:basedOn w:val="Heading"/>
    <w:next w:val="TextBody"/>
    <w:qFormat/>
    <w:pPr>
      <w:numPr>
        <w:ilvl w:val="0"/>
        <w:numId w:val="1"/>
      </w:numPr>
      <w:spacing w:before="240" w:after="120"/>
      <w:outlineLvl w:val="0"/>
    </w:pPr>
    <w:rPr>
      <w:rFonts w:ascii="FreeSans" w:hAnsi="FreeSans"/>
      <w:b/>
      <w:bCs/>
      <w:sz w:val="36"/>
      <w:szCs w:val="36"/>
    </w:rPr>
  </w:style>
  <w:style w:type="paragraph" w:styleId="Heading2">
    <w:name w:val="Heading 2"/>
    <w:basedOn w:val="Heading"/>
    <w:next w:val="TextBody"/>
    <w:qFormat/>
    <w:pPr>
      <w:numPr>
        <w:ilvl w:val="1"/>
        <w:numId w:val="1"/>
      </w:numPr>
      <w:spacing w:before="200" w:after="120"/>
      <w:outlineLvl w:val="1"/>
    </w:pPr>
    <w:rPr>
      <w:rFonts w:ascii="FreeSans" w:hAnsi="FreeSans"/>
      <w:b/>
      <w:bCs/>
      <w:sz w:val="32"/>
      <w:szCs w:val="32"/>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rsid w:val="00a060ea"/>
    <w:rPr>
      <w:color w:val="0563C1" w:themeColor="hyperlink"/>
      <w:u w:val="single"/>
    </w:rPr>
  </w:style>
  <w:style w:type="character" w:styleId="UnresolvedMention">
    <w:name w:val="Unresolved Mention"/>
    <w:basedOn w:val="DefaultParagraphFont"/>
    <w:uiPriority w:val="99"/>
    <w:semiHidden/>
    <w:unhideWhenUsed/>
    <w:qFormat/>
    <w:rsid w:val="00a060ea"/>
    <w:rPr>
      <w:color w:val="605E5C"/>
      <w:shd w:fill="E1DFDD" w:val="clear"/>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ascii="Calibri" w:hAnsi="Calibri" w:cs="Calibri" w:asciiTheme="minorHAnsi" w:cstheme="minorHAnsi" w:hAnsiTheme="minorHAnsi"/>
      <w:lang w:val="en-GB"/>
    </w:rPr>
  </w:style>
  <w:style w:type="paragraph" w:styleId="Heading">
    <w:name w:val="Heading"/>
    <w:basedOn w:val="Normal"/>
    <w:next w:val="TextBody"/>
    <w:qFormat/>
    <w:pPr>
      <w:keepNext w:val="true"/>
      <w:spacing w:before="240" w:after="120"/>
    </w:pPr>
    <w:rPr>
      <w:rFonts w:ascii="Liberation Sans" w:hAnsi="Liberation Sans" w:eastAsia="Noto Sans CJK SC Regular"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Default" w:customStyle="1">
    <w:name w:val="Default"/>
    <w:qFormat/>
    <w:rsid w:val="00a060ea"/>
    <w:pPr>
      <w:widowControl/>
      <w:bidi w:val="0"/>
      <w:jc w:val="left"/>
    </w:pPr>
    <w:rPr>
      <w:rFonts w:ascii="Calibri" w:hAnsi="Calibri" w:cs="Calibri" w:eastAsia="Calibri"/>
      <w:color w:val="000000"/>
      <w:kern w:val="0"/>
      <w:sz w:val="24"/>
      <w:szCs w:val="24"/>
      <w:lang w:val="en-US" w:eastAsia="en-US" w:bidi="ar-SA"/>
    </w:rPr>
  </w:style>
  <w:style w:type="paragraph" w:styleId="ListParagraph">
    <w:name w:val="List Paragraph"/>
    <w:basedOn w:val="Normal"/>
    <w:uiPriority w:val="34"/>
    <w:qFormat/>
    <w:rsid w:val="00a060ea"/>
    <w:pPr>
      <w:spacing w:before="0" w:after="0"/>
      <w:ind w:left="720" w:hanging="0"/>
      <w:contextualSpacing/>
    </w:pPr>
    <w:rPr/>
  </w:style>
  <w:style w:type="paragraph" w:styleId="Title">
    <w:name w:val="Title"/>
    <w:basedOn w:val="Heading"/>
    <w:next w:val="TextBody"/>
    <w:qFormat/>
    <w:pPr>
      <w:spacing w:lineRule="auto" w:line="276"/>
      <w:jc w:val="center"/>
    </w:pPr>
    <w:rPr>
      <w:rFonts w:ascii="FreeSans" w:hAnsi="FreeSans"/>
      <w:b/>
      <w:bCs/>
      <w:sz w:val="56"/>
      <w:szCs w:val="56"/>
    </w:rPr>
  </w:style>
  <w:style w:type="paragraph" w:styleId="Subtitle">
    <w:name w:val="Subtitle"/>
    <w:basedOn w:val="Heading"/>
    <w:next w:val="TextBody"/>
    <w:qFormat/>
    <w:pPr>
      <w:spacing w:before="60" w:after="120"/>
      <w:jc w:val="center"/>
    </w:pPr>
    <w:rPr>
      <w:rFonts w:ascii="FreeSans" w:hAnsi="FreeSans"/>
      <w:sz w:val="32"/>
      <w:szCs w:val="32"/>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Application>LibreOffice/6.0.6.2$Linux_X86_64 LibreOffice_project/00m0$Build-2</Application>
  <Pages>11</Pages>
  <Words>3555</Words>
  <Characters>19956</Characters>
  <CharactersWithSpaces>23517</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2018-11-02T05:03:00Z</dcterms:created>
  <dc:creator>Joshua Hallwright</dc:creator>
  <dc:description/>
  <dc:language>en-AU</dc:language>
  <cp:lastModifiedBy/>
  <dcterms:modified xsi:type="dcterms:W3CDTF">2018-11-27T15:51:49Z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