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theme/theme1.xml" ContentType="application/vnd.openxmlformats-officedocument.theme+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le"/>
        <w:spacing w:before="240" w:after="120"/>
        <w:rPr/>
      </w:pPr>
      <w:bookmarkStart w:id="0" w:name="__DdeLink__23176_1677319845"/>
      <w:bookmarkEnd w:id="0"/>
      <w:r>
        <w:rPr/>
        <w:t>Measuring the Relationship of Public Opinion to Mass Media and Policy Agendas for Major Public Issues and Events</w:t>
      </w:r>
    </w:p>
    <w:p>
      <w:pPr>
        <w:pStyle w:val="TextBody"/>
        <w:rPr>
          <w:rFonts w:ascii="FreeSans" w:hAnsi="FreeSans"/>
        </w:rPr>
      </w:pPr>
      <w:r>
        <w:rPr>
          <w:rFonts w:ascii="FreeSans" w:hAnsi="FreeSans"/>
        </w:rPr>
      </w:r>
    </w:p>
    <w:p>
      <w:pPr>
        <w:pStyle w:val="Subtitle"/>
        <w:rPr/>
      </w:pPr>
      <w:r>
        <w:rPr>
          <w:b/>
          <w:bCs/>
        </w:rPr>
        <w:t>Christie, Thomas B</w:t>
      </w:r>
      <w:r>
        <w:rPr/>
        <w:t xml:space="preserve"> </w:t>
      </w:r>
      <w:r>
        <w:rPr>
          <w:i/>
          <w:iCs/>
        </w:rPr>
        <w:t>University of Texas, Arlington</w:t>
      </w:r>
    </w:p>
    <w:p>
      <w:pPr>
        <w:pStyle w:val="TextBody"/>
        <w:rPr>
          <w:rFonts w:ascii="FreeSans" w:hAnsi="FreeSans"/>
        </w:rPr>
      </w:pPr>
      <w:r>
        <w:rPr>
          <w:rFonts w:ascii="FreeSans" w:hAnsi="FreeSans"/>
        </w:rPr>
      </w:r>
    </w:p>
    <w:p>
      <w:pPr>
        <w:pStyle w:val="Heading1"/>
        <w:numPr>
          <w:ilvl w:val="0"/>
          <w:numId w:val="2"/>
        </w:numPr>
        <w:rPr/>
      </w:pPr>
      <w:r>
        <w:rPr/>
        <w:t>Measuring Dynamics of Public Opinion, Public Policy, and Mass Media</w:t>
      </w:r>
    </w:p>
    <w:p>
      <w:pPr>
        <w:pStyle w:val="TextBody"/>
        <w:spacing w:lineRule="auto" w:line="360" w:before="285" w:after="285"/>
        <w:jc w:val="both"/>
        <w:rPr>
          <w:rFonts w:ascii="FreeSans" w:hAnsi="FreeSans"/>
        </w:rPr>
      </w:pPr>
      <w:r>
        <w:rPr>
          <w:rFonts w:ascii="FreeSans" w:hAnsi="FreeSans"/>
        </w:rPr>
        <w:t>Early studies examining connections between public policy and public opinion were rooted primarily in the political science field and examined the role of public opinion in a democracy and its role in the formation of a government's public policy decisions.  Linkage between public policy and public opinion was seen as a function that allowed "public leaders to act in accordance with the wants, needs, and demands of the public" (Luttbeg, 1968, p. 2).  Several linkage models were developed, emphasizing the importance of the informed citizen, political parties, interest groups, and other mechanisms.</w:t>
      </w:r>
    </w:p>
    <w:p>
      <w:pPr>
        <w:pStyle w:val="TextBody"/>
        <w:spacing w:lineRule="auto" w:line="360" w:before="285" w:after="285"/>
        <w:jc w:val="both"/>
        <w:rPr>
          <w:rFonts w:ascii="FreeSans" w:hAnsi="FreeSans"/>
        </w:rPr>
      </w:pPr>
      <w:r>
        <w:rPr>
          <w:rFonts w:ascii="FreeSans" w:hAnsi="FreeSans"/>
        </w:rPr>
        <w:t xml:space="preserve">Mass media were added as a variable to explain how opinion-to-policy linkage occurred.  Katz and Lazarsfeld offered the "two-step flow" mechanism, incorporating opinion leaders as a key element in the transfer (Katz &amp; Lazarsfeld, 1955).  Rogers and Dearing noted two main research traditions in the study of these agendas.  One has been labeled ‘agenda-setting,’ a process through which the mass media communicate an agenda of issues and events to the public.  Agenda setting has also been more practically defined as an idea that news media, in the way news is displayed or selected, determine issues the public thinks and talks about (Severin &amp; Tankard, 1988). The other tradition is called ‘agenda-building’, a process through which policy agendas of political elites become influenced (Rogers &amp; Dearing, 1987). </w:t>
      </w:r>
    </w:p>
    <w:p>
      <w:pPr>
        <w:pStyle w:val="TextBody"/>
        <w:spacing w:lineRule="auto" w:line="360" w:before="285" w:after="285"/>
        <w:jc w:val="both"/>
        <w:rPr/>
      </w:pPr>
      <w:r>
        <w:rPr>
          <w:rFonts w:ascii="FreeSans" w:hAnsi="FreeSans"/>
        </w:rPr>
        <w:t>The key dependent variable of the agenda-building tradition was public policy, though the tradition developed over the past few decades to consider public policy as an independent variable in selected cases.  The key dependent variable of the agenda-setting tradition was the public agenda, while the key independent variable was the media agenda.  Influences of other variables on the dependent variable were not considered as frequently as in the policy agenda-setting tradition. The 1972 McCombs and Shaw study found the public's agenda strongly influenced by a preceding media agenda (McCombs &amp; Shaw, 1972)</w:t>
      </w:r>
      <w:r>
        <w:rPr>
          <w:rStyle w:val="FootnoteCharacters"/>
          <w:rFonts w:ascii="FreeSans" w:hAnsi="FreeSans"/>
        </w:rPr>
        <w:t>.</w:t>
      </w:r>
      <w:r>
        <w:rPr>
          <w:rFonts w:ascii="FreeSans" w:hAnsi="FreeSans"/>
        </w:rPr>
        <w:t>.</w:t>
      </w:r>
      <w:bookmarkStart w:id="1" w:name="_GoBack"/>
      <w:bookmarkEnd w:id="1"/>
    </w:p>
    <w:p>
      <w:pPr>
        <w:pStyle w:val="TextBody"/>
        <w:spacing w:lineRule="auto" w:line="360" w:before="285" w:after="285"/>
        <w:jc w:val="both"/>
        <w:rPr>
          <w:rFonts w:ascii="FreeSans" w:hAnsi="FreeSans"/>
        </w:rPr>
      </w:pPr>
      <w:r>
        <w:rPr>
          <w:rFonts w:ascii="FreeSans" w:hAnsi="FreeSans"/>
        </w:rPr>
        <w:t xml:space="preserve">As studies of the agenda-setting process continued, a basic problem of issue definition was addressed.  Lang and Lang noted the need for clear definition in agenda-setting studies (Lang &amp; Lang, 1981).  Shaw noted a distinction between issues and events, defining an event as a discrete happening, such as a car wreck, while an issue was at a greater level of abstraction (McCombs &amp; Shaw, 1977).  </w:t>
      </w:r>
    </w:p>
    <w:p>
      <w:pPr>
        <w:pStyle w:val="TextBody"/>
        <w:spacing w:lineRule="auto" w:line="360" w:before="285" w:after="285"/>
        <w:jc w:val="both"/>
        <w:rPr>
          <w:rFonts w:ascii="FreeSans" w:hAnsi="FreeSans"/>
        </w:rPr>
      </w:pPr>
      <w:r>
        <w:rPr>
          <w:rFonts w:ascii="FreeSans" w:hAnsi="FreeSans"/>
        </w:rPr>
        <w:t>Later studies of agenda-setting and agenda-building research illustrated the need to undertake open research designs, allowing for key variables to be studied alternately as both dependent and independent variables. A study of the U.S. Watergate crisis by Lang and Lang (1983) found such reciprocal relationships between different variables of their study.  They noted that months of intensive media coverage were required before Watergate became a public agenda item.  Later, the issue provoked action by federal policy makers. Thus, studies have found the mass media to be one of many elements involved in a reciprocal process including public opinion and public policy.  Such studies further directed consideration of complex interactions in agenda-setting and agenda-building processes.</w:t>
        <w:tab/>
      </w:r>
    </w:p>
    <w:p>
      <w:pPr>
        <w:pStyle w:val="Heading1"/>
        <w:numPr>
          <w:ilvl w:val="0"/>
          <w:numId w:val="2"/>
        </w:numPr>
        <w:jc w:val="both"/>
        <w:rPr>
          <w:rFonts w:ascii="Times New Roman" w:hAnsi="Times New Roman" w:eastAsia="MS Mincho" w:cs="Times New Roman"/>
          <w:b/>
          <w:b/>
          <w:sz w:val="28"/>
          <w:szCs w:val="28"/>
        </w:rPr>
      </w:pPr>
      <w:r>
        <w:rPr/>
        <w:t>Emergence of ARIMA modeling in Mass Media and Public Policy Research</w:t>
      </w:r>
    </w:p>
    <w:p>
      <w:pPr>
        <w:pStyle w:val="TextBody"/>
        <w:spacing w:lineRule="auto" w:line="360" w:before="285" w:after="285"/>
        <w:jc w:val="both"/>
        <w:rPr>
          <w:rFonts w:ascii="FreeSans" w:hAnsi="FreeSans"/>
        </w:rPr>
      </w:pPr>
      <w:r>
        <w:rPr>
          <w:rFonts w:ascii="FreeSans" w:hAnsi="FreeSans"/>
        </w:rPr>
        <w:t>In an extensive review of social science research about media, public policy, and public opinion, West noted that studies had dealt with the connection between the three variables in a cursory manner, and that no study had employed modern social-science statistical methods to examine the causal nature of such dynamics. Employing Auto Regressive Integrated Moving Average (ARIMA) modeling, West found that the relationship between public opinion and events seemed valid during warfare:  public opinion was largely driven by real-world events (Elias, 1990).</w:t>
      </w:r>
    </w:p>
    <w:p>
      <w:pPr>
        <w:pStyle w:val="TextBody"/>
        <w:spacing w:lineRule="auto" w:line="360" w:before="285" w:after="285"/>
        <w:jc w:val="both"/>
        <w:rPr>
          <w:rFonts w:ascii="FreeSans" w:hAnsi="FreeSans"/>
        </w:rPr>
      </w:pPr>
      <w:r>
        <w:rPr>
          <w:rFonts w:ascii="FreeSans" w:hAnsi="FreeSans"/>
        </w:rPr>
        <w:t xml:space="preserve">This ARIMA modeling was based on the ‘agenda-setting’ tradition, which is particularly suited for study of new issues or events with an attentive mass audience. Studies of the influence of media agendas on political and social conditions have shown the importance of media guidance (assigning importance to issues and events) for new issues.  This guidance is especially important for new issues that have not been discussed as well as for issues not within the realm of personal experience (Graber, 2005). </w:t>
      </w:r>
    </w:p>
    <w:p>
      <w:pPr>
        <w:pStyle w:val="TextBody"/>
        <w:spacing w:lineRule="auto" w:line="360" w:before="285" w:after="285"/>
        <w:jc w:val="both"/>
        <w:rPr>
          <w:rFonts w:ascii="FreeSans" w:hAnsi="FreeSans"/>
        </w:rPr>
      </w:pPr>
      <w:r>
        <w:rPr>
          <w:rFonts w:ascii="FreeSans" w:hAnsi="FreeSans"/>
        </w:rPr>
        <w:t xml:space="preserve">The use of ARIMA methods in agenda-setting research is relatively new in mass communication studies – some of the first studies using the method were Dearing's 1989 examination of the AIDS issue in the U.S. (Dearing, 1989), Rogers' 1991 AIDS study (Rogers et al, 1991), and Gonzenbach's 1991 and 1992 analyses of the drug issue) (Gonzenbach, 1991). </w:t>
      </w:r>
    </w:p>
    <w:p>
      <w:pPr>
        <w:pStyle w:val="TextBody"/>
        <w:spacing w:lineRule="auto" w:line="360" w:before="285" w:after="285"/>
        <w:jc w:val="both"/>
        <w:rPr>
          <w:rFonts w:ascii="FreeSans" w:hAnsi="FreeSans"/>
        </w:rPr>
      </w:pPr>
      <w:r>
        <w:rPr>
          <w:rFonts w:ascii="FreeSans" w:hAnsi="FreeSans"/>
        </w:rPr>
        <w:t xml:space="preserve">In 1993, the author examined events and issues within mass media agendas that may have been influenced by policy issues and events. My study relied on an assumption that the amount of time required for policy statement/media content influences during wartime is relatively short.  Though no empirical studies had directly addressed this particular time variable, a time frame of approximately 1-7 days was assumed due to the crisis nature of media and policy issues and events during the war. The need for advanced statistical methods was illustrated by problems with directionality and autocorrelation present in simple cross-lagged correlation designs. </w:t>
      </w:r>
    </w:p>
    <w:p>
      <w:pPr>
        <w:pStyle w:val="TextBody"/>
        <w:spacing w:lineRule="auto" w:line="360" w:before="285" w:after="285"/>
        <w:jc w:val="both"/>
        <w:rPr>
          <w:rFonts w:ascii="FreeSans" w:hAnsi="FreeSans"/>
        </w:rPr>
      </w:pPr>
      <w:r>
        <w:rPr>
          <w:rFonts w:ascii="FreeSans" w:hAnsi="FreeSans"/>
        </w:rPr>
        <w:t xml:space="preserve">Later studies using ARIMA modeling were fruitful in examining intermedia agenda setting (Kim et al, 2016). Tan and Weaver (2013) used ARIMA modeling to examine trends in public issue agenda diversity. Lee (2013) used the procedure to examine how external factors, such as economic considerations, influence ideological bias in mass media, finding that news media react negatively to government spending. Many studies, however, focus more exclusively on economic issues. For example, Scheufele, Haas and Brosius (2011) used ARIMA modeling to examine relationships between media coverage and stock prices of German companies. </w:t>
      </w:r>
    </w:p>
    <w:p>
      <w:pPr>
        <w:pStyle w:val="TextBody"/>
        <w:spacing w:lineRule="auto" w:line="360" w:before="285" w:after="285"/>
        <w:jc w:val="both"/>
        <w:rPr>
          <w:rFonts w:ascii="FreeSans" w:hAnsi="FreeSans"/>
        </w:rPr>
      </w:pPr>
      <w:r>
        <w:rPr>
          <w:rFonts w:ascii="FreeSans" w:hAnsi="FreeSans"/>
        </w:rPr>
        <w:t>ARIMA modeling is a tool to help analyze a time series, or a "cumulative effect of some process." (</w:t>
      </w:r>
      <w:bookmarkStart w:id="2" w:name="_Hlk527239918"/>
      <w:r>
        <w:rPr>
          <w:rFonts w:ascii="FreeSans" w:hAnsi="FreeSans"/>
        </w:rPr>
        <w:t>SPSS Trends, 1990</w:t>
      </w:r>
      <w:bookmarkEnd w:id="2"/>
      <w:r>
        <w:rPr>
          <w:rFonts w:ascii="FreeSans" w:hAnsi="FreeSans"/>
        </w:rPr>
        <w:t xml:space="preserve">, p. B-31). It has been used effectively to predict dependent variables in studies of agenda setting (Vargo, 2011). Tests by ARIMA modeling produce coefficients denoting autoregressive or moving average processes present (or both) and an output showing the "B" value of a predictor or independent variable in an equation.  After a model has been accepted, this B value can be interpreted as the B in a standard regression equation.  A t-ratio indicating statistical significance of the predictor variable is also calculated. The ARIMA statistical procedure has certain limitations.  A generally accepted minimum of 30 cases should be met. </w:t>
      </w:r>
    </w:p>
    <w:p>
      <w:pPr>
        <w:pStyle w:val="TextBody"/>
        <w:spacing w:lineRule="auto" w:line="360" w:before="285" w:after="285"/>
        <w:jc w:val="both"/>
        <w:rPr>
          <w:rFonts w:ascii="FreeSans" w:hAnsi="FreeSans"/>
        </w:rPr>
      </w:pPr>
      <w:r>
        <w:rPr>
          <w:rFonts w:ascii="FreeSans" w:hAnsi="FreeSans"/>
        </w:rPr>
        <w:t>The first step involved in an ARIMA process is the ‘identification’ stage, which involves first plotting the time-series.  The initial time lag or lags appropriate for model building are determined in this stage.  For mass communication studies, this may be done through simple cross-lagged correlations of policy and media issues and events.  Individual terms are analyzed in this manner to determine both a time lag (in number of days) as well as the leading variable (policy or media).  After the time series plots are analyzed for stationarity (constant mean and variance) and the cross correlations revealed possible lags (in number of days) and leading variables, model specifications may continue.</w:t>
      </w:r>
    </w:p>
    <w:p>
      <w:pPr>
        <w:pStyle w:val="TextBody"/>
        <w:spacing w:lineRule="auto" w:line="360" w:before="285" w:after="285"/>
        <w:jc w:val="both"/>
        <w:rPr>
          <w:rFonts w:ascii="FreeSans" w:hAnsi="FreeSans"/>
        </w:rPr>
      </w:pPr>
      <w:r>
        <w:rPr>
          <w:rFonts w:ascii="FreeSans" w:hAnsi="FreeSans"/>
        </w:rPr>
        <w:t>The next step involves estimation of the (p,d,q) requirements of the ARIMA model where p indicates the order of autoregression, d is the degree of differencing, and q is the order of the moving average involved (SPSS/PC+ Trends, 1990).  The d parameter was the first ARIMA parameter specified and is based on the need for the series to be differenced if it is nonstationary (no constant mean and variance).  Differencing is a transformation that "takes differences between successive values in a series" (SPSS/PC+ Trends, 1990, p. D-2).  The procedure corrects for nonstationarity in the time series.</w:t>
      </w:r>
    </w:p>
    <w:p>
      <w:pPr>
        <w:pStyle w:val="TextBody"/>
        <w:spacing w:lineRule="auto" w:line="360" w:before="285" w:after="285"/>
        <w:jc w:val="both"/>
        <w:rPr>
          <w:rFonts w:ascii="FreeSans" w:hAnsi="FreeSans"/>
        </w:rPr>
      </w:pPr>
      <w:r>
        <w:rPr>
          <w:rFonts w:ascii="FreeSans" w:hAnsi="FreeSans"/>
        </w:rPr>
        <w:t>More precise statistical processes identify the two remaining ARIMA model parameters.  Autocorrelation function (ACF) and partial autocorrelation function (PACF) analyses were conducted on each variable.  The autocorrelation function is defined as the strength of the relationship between all observations in a series and its time lags (McCain &amp; McLeary, 1979). The problem addressed by the autocorrelation function can be understood when looking at the lagged units of analysis as follows:</w:t>
      </w:r>
    </w:p>
    <w:p>
      <w:pPr>
        <w:pStyle w:val="TextBody"/>
        <w:spacing w:lineRule="auto" w:line="360"/>
        <w:rPr>
          <w:rFonts w:ascii="FreeSans" w:hAnsi="FreeSans"/>
        </w:rPr>
      </w:pPr>
      <w:r>
        <w:rPr>
          <w:rFonts w:ascii="FreeSans" w:hAnsi="FreeSans"/>
        </w:rPr>
        <w:tab/>
        <w:t>0 lag is     Y1   Y2   Y3   Y4   Y5</w:t>
      </w:r>
    </w:p>
    <w:p>
      <w:pPr>
        <w:pStyle w:val="TextBody"/>
        <w:spacing w:lineRule="auto" w:line="360"/>
        <w:rPr>
          <w:rFonts w:ascii="FreeSans" w:hAnsi="FreeSans"/>
        </w:rPr>
      </w:pPr>
      <w:r>
        <w:rPr>
          <w:rFonts w:ascii="FreeSans" w:hAnsi="FreeSans"/>
        </w:rPr>
        <w:tab/>
        <w:t>1 lag is          Y1   Y2   Y3   Y4   Y5</w:t>
      </w:r>
    </w:p>
    <w:p>
      <w:pPr>
        <w:pStyle w:val="TextBody"/>
        <w:spacing w:lineRule="auto" w:line="360"/>
        <w:rPr>
          <w:rFonts w:ascii="FreeSans" w:hAnsi="FreeSans"/>
        </w:rPr>
      </w:pPr>
      <w:r>
        <w:rPr>
          <w:rFonts w:ascii="FreeSans" w:hAnsi="FreeSans"/>
        </w:rPr>
        <w:tab/>
        <w:t xml:space="preserve">2 lags . . .     </w:t>
        <w:tab/>
        <w:t xml:space="preserve">     Y1   Y2   Y3   Y4   Y5 </w:t>
      </w:r>
    </w:p>
    <w:p>
      <w:pPr>
        <w:pStyle w:val="TextBody"/>
        <w:spacing w:lineRule="auto" w:line="360"/>
        <w:rPr>
          <w:rFonts w:ascii="FreeSans" w:hAnsi="FreeSans"/>
        </w:rPr>
      </w:pPr>
      <w:r>
        <w:rPr>
          <w:rFonts w:ascii="FreeSans" w:hAnsi="FreeSans"/>
        </w:rPr>
        <w:tab/>
        <w:t xml:space="preserve">3 lags . . .      </w:t>
        <w:tab/>
        <w:tab/>
        <w:t xml:space="preserve">   Y1   Y2   Y3   Y4   Y5</w:t>
      </w:r>
    </w:p>
    <w:p>
      <w:pPr>
        <w:pStyle w:val="TextBody"/>
        <w:spacing w:lineRule="auto" w:line="360"/>
        <w:rPr>
          <w:rFonts w:ascii="FreeSans" w:hAnsi="FreeSans"/>
        </w:rPr>
      </w:pPr>
      <w:r>
        <w:rPr>
          <w:rFonts w:ascii="FreeSans" w:hAnsi="FreeSans"/>
        </w:rPr>
        <w:t xml:space="preserve"> </w:t>
      </w:r>
      <w:r>
        <w:rPr>
          <w:rFonts w:ascii="FreeSans" w:hAnsi="FreeSans"/>
        </w:rPr>
        <w:tab/>
        <w:t>and so forth.</w:t>
      </w:r>
    </w:p>
    <w:p>
      <w:pPr>
        <w:pStyle w:val="TextBody"/>
        <w:spacing w:lineRule="auto" w:line="360" w:before="285" w:after="285"/>
        <w:jc w:val="both"/>
        <w:rPr>
          <w:rFonts w:ascii="FreeSans" w:hAnsi="FreeSans"/>
        </w:rPr>
      </w:pPr>
      <w:r>
        <w:rPr>
          <w:rFonts w:ascii="FreeSans" w:hAnsi="FreeSans"/>
        </w:rPr>
        <w:t xml:space="preserve">This illustration shows how a mention of an issue or event at time Y3, for example, can be partially due to mentions of the same issue or event at time Y2 and even time Y1 (McCain &amp; McLeary, 1979). Proper ARIMA modeling can discount the effects of this autocorrelation problem and thus determine the extent of prediction. </w:t>
      </w:r>
    </w:p>
    <w:p>
      <w:pPr>
        <w:pStyle w:val="TextBody"/>
        <w:spacing w:lineRule="auto" w:line="360" w:before="285" w:after="285"/>
        <w:jc w:val="both"/>
        <w:rPr>
          <w:rFonts w:ascii="FreeSans" w:hAnsi="FreeSans"/>
        </w:rPr>
      </w:pPr>
      <w:r>
        <w:rPr>
          <w:rFonts w:ascii="FreeSans" w:hAnsi="FreeSans"/>
        </w:rPr>
        <w:t>Various patterns seen in autocorrelation and partial autocorrelation analyses determine the values of p and q for the ARIMA models.  The p and q parameters are set according to standard guidelines when a minimum of one of the two variables in a given model show distinctive autocorrelations or partial autocorrelations (SPSS/PC+ Trends, 1990).</w:t>
      </w:r>
    </w:p>
    <w:p>
      <w:pPr>
        <w:pStyle w:val="TextBody"/>
        <w:spacing w:lineRule="auto" w:line="360" w:before="285" w:after="285"/>
        <w:jc w:val="both"/>
        <w:rPr>
          <w:rFonts w:ascii="FreeSans" w:hAnsi="FreeSans"/>
        </w:rPr>
      </w:pPr>
      <w:r>
        <w:rPr>
          <w:rFonts w:ascii="FreeSans" w:hAnsi="FreeSans"/>
        </w:rPr>
        <w:t>A first-order autoregressive model or ARIMA (1,0,0) designed to correct for distinct problems in autocorrelations and partial autocorrelations can be represented mathematically as follows:</w:t>
      </w:r>
    </w:p>
    <w:p>
      <w:pPr>
        <w:pStyle w:val="TextBody"/>
        <w:spacing w:lineRule="auto" w:line="360"/>
        <w:jc w:val="center"/>
        <w:rPr>
          <w:rFonts w:ascii="Times New Roman" w:hAnsi="Times New Roman" w:eastAsia="MS Mincho" w:cs="Times New Roman"/>
          <w:sz w:val="24"/>
          <w:szCs w:val="24"/>
        </w:rPr>
      </w:pPr>
      <w:r>
        <w:rPr>
          <w:rFonts w:ascii="FreeSans" w:hAnsi="FreeSans"/>
        </w:rPr>
        <w:t xml:space="preserve">Yt = Øyt-1 + at   </w:t>
      </w:r>
    </w:p>
    <w:p>
      <w:pPr>
        <w:pStyle w:val="TextBody"/>
        <w:spacing w:lineRule="auto" w:line="360" w:before="285" w:after="285"/>
        <w:jc w:val="both"/>
        <w:rPr/>
      </w:pPr>
      <w:r>
        <w:rPr>
          <w:rFonts w:ascii="FreeSans" w:hAnsi="FreeSans"/>
        </w:rPr>
        <w:t>In this equation, the coefficient o "is estimated from the observed series and indicates how strongly each value depends on the preceding value." (SPSS/PC+ Trends, 1990, p. B-31). Yt represents the current observation, which is predicted from this coefficient and the preceding past observation yt-1 plus the residual or error term at. (McCain &amp; McLeary, 1979)</w:t>
      </w:r>
      <w:r>
        <w:rPr>
          <w:rStyle w:val="FootnoteCharacters"/>
          <w:rFonts w:ascii="FreeSans" w:hAnsi="FreeSans"/>
        </w:rPr>
        <w:t xml:space="preserve"> </w:t>
      </w:r>
      <w:r>
        <w:rPr>
          <w:rFonts w:ascii="FreeSans" w:hAnsi="FreeSans"/>
        </w:rPr>
        <w:t>. An equation representing a moving average process (or ARIMA (0,0,1) can be shown as follows:</w:t>
      </w:r>
    </w:p>
    <w:p>
      <w:pPr>
        <w:pStyle w:val="TextBody"/>
        <w:spacing w:lineRule="auto" w:line="360"/>
        <w:jc w:val="center"/>
        <w:rPr>
          <w:rFonts w:ascii="Times New Roman" w:hAnsi="Times New Roman" w:eastAsia="MS Mincho" w:cs="Times New Roman"/>
          <w:sz w:val="24"/>
          <w:szCs w:val="24"/>
        </w:rPr>
      </w:pPr>
      <w:r>
        <w:rPr>
          <w:rFonts w:ascii="FreeSans" w:hAnsi="FreeSans"/>
        </w:rPr>
        <w:t>Yt = at - θtat-1</w:t>
      </w:r>
    </w:p>
    <w:p>
      <w:pPr>
        <w:pStyle w:val="TextBody"/>
        <w:spacing w:lineRule="auto" w:line="360" w:before="285" w:after="285"/>
        <w:jc w:val="both"/>
        <w:rPr>
          <w:rFonts w:ascii="FreeSans" w:hAnsi="FreeSans"/>
        </w:rPr>
      </w:pPr>
      <w:r>
        <w:rPr>
          <w:rFonts w:ascii="FreeSans" w:hAnsi="FreeSans"/>
        </w:rPr>
        <w:t>This equation shows θ as the correlation coefficient.  Here, Yt is predicted from the previous random shock at-1 (SPSS/PC+ Trends, 1990).  ARIMA modeling allows the combination of both autoregressive and moving average equations in the event that both processes are present in a given time-series.</w:t>
      </w:r>
    </w:p>
    <w:p>
      <w:pPr>
        <w:pStyle w:val="TextBody"/>
        <w:spacing w:lineRule="auto" w:line="360" w:before="285" w:after="285"/>
        <w:jc w:val="both"/>
        <w:rPr>
          <w:rFonts w:ascii="FreeSans" w:hAnsi="FreeSans"/>
        </w:rPr>
      </w:pPr>
      <w:r>
        <w:rPr>
          <w:rFonts w:ascii="FreeSans" w:hAnsi="FreeSans"/>
        </w:rPr>
        <w:t>If no autoregressive or moving average processes are found on a stationary series, the model may be tentatively identified as an ARIMA (0,0,0) model (for p, d, and q).  This model is equivalent to the regression equation:</w:t>
      </w:r>
    </w:p>
    <w:p>
      <w:pPr>
        <w:pStyle w:val="TextBody"/>
        <w:spacing w:lineRule="auto" w:line="360"/>
        <w:jc w:val="center"/>
        <w:rPr>
          <w:rFonts w:ascii="Times New Roman" w:hAnsi="Times New Roman" w:eastAsia="MS Mincho" w:cs="Times New Roman"/>
          <w:sz w:val="24"/>
          <w:szCs w:val="24"/>
        </w:rPr>
      </w:pPr>
      <w:r>
        <w:rPr>
          <w:rFonts w:ascii="FreeSans" w:hAnsi="FreeSans"/>
        </w:rPr>
        <w:t>Y = a + bX</w:t>
      </w:r>
    </w:p>
    <w:p>
      <w:pPr>
        <w:pStyle w:val="TextBody"/>
        <w:spacing w:lineRule="auto" w:line="360" w:before="285" w:after="285"/>
        <w:jc w:val="both"/>
        <w:rPr>
          <w:rFonts w:ascii="FreeSans" w:hAnsi="FreeSans"/>
        </w:rPr>
      </w:pPr>
      <w:r>
        <w:rPr>
          <w:rFonts w:ascii="FreeSans" w:hAnsi="FreeSans"/>
        </w:rPr>
        <w:t xml:space="preserve">In this equation, Y is the value of the dependent variable and X is the value of the independent variable.  The notation "a" represents the intercept, and b defines the slope of the regression.  This model is a standard regression equation for a time series with no controls for autocorrelations or partial autocorrelations.  Such a regression model is appropriate when errors or residuals from the regression are not correlated among themselves (SPSS/PC+ Trends, 1990). The B output provided from ARIMA testing is interpreted as the b in this regression model after the autoregressive and moving average processes have been determined.  </w:t>
      </w:r>
    </w:p>
    <w:p>
      <w:pPr>
        <w:pStyle w:val="TextBody"/>
        <w:spacing w:lineRule="auto" w:line="360" w:before="285" w:after="285"/>
        <w:jc w:val="both"/>
        <w:rPr>
          <w:rFonts w:ascii="FreeSans" w:hAnsi="FreeSans"/>
        </w:rPr>
      </w:pPr>
      <w:r>
        <w:rPr>
          <w:rFonts w:ascii="FreeSans" w:hAnsi="FreeSans"/>
        </w:rPr>
        <w:t xml:space="preserve">After the individual models are identified, statistical analyses yield coefficients required for the ‘estimation’ step of ARIMA modeling.  </w:t>
      </w:r>
    </w:p>
    <w:p>
      <w:pPr>
        <w:pStyle w:val="TextBody"/>
        <w:spacing w:lineRule="auto" w:line="360" w:before="285" w:after="285"/>
        <w:jc w:val="both"/>
        <w:rPr>
          <w:rFonts w:ascii="FreeSans" w:hAnsi="FreeSans"/>
        </w:rPr>
      </w:pPr>
      <w:r>
        <w:rPr>
          <w:rFonts w:ascii="FreeSans" w:hAnsi="FreeSans"/>
        </w:rPr>
        <w:t xml:space="preserve">ARIMA models may be constructed to test the data obtained in content analyses for influences between media and between media and government sources.  In a 1993 study of the Gulf War, the author used ARIMA models to examine cross-correlations on individual issues and events.  These tests calculate cross correlation coefficients between two variables and are required to identify potential leading (or lagging) variables and provide the initial time lags necessary for ARIMA model building (Christie, 1993). </w:t>
      </w:r>
    </w:p>
    <w:p>
      <w:pPr>
        <w:pStyle w:val="TextBody"/>
        <w:spacing w:lineRule="auto" w:line="360" w:before="285" w:after="285"/>
        <w:jc w:val="both"/>
        <w:rPr>
          <w:rFonts w:ascii="FreeSans" w:hAnsi="FreeSans"/>
        </w:rPr>
      </w:pPr>
      <w:r>
        <w:rPr>
          <w:rFonts w:ascii="FreeSans" w:hAnsi="FreeSans"/>
        </w:rPr>
        <w:t xml:space="preserve">Three basic steps in ARIMA modeling (identification, estimation, diagnosis) guide  research design.  Time-series plots are part of the ‘identification’ stage, or the first stage of ARIMA modeling.  This stage is the "first and most subjective" step" in the process </w:t>
      </w:r>
      <w:bookmarkStart w:id="3" w:name="_Hlk527311491"/>
      <w:r>
        <w:rPr>
          <w:rFonts w:ascii="FreeSans" w:hAnsi="FreeSans"/>
        </w:rPr>
        <w:t>(SPSS/PC+ Trends, 1990, pp. B-32-33)</w:t>
      </w:r>
      <w:bookmarkEnd w:id="3"/>
      <w:r>
        <w:rPr>
          <w:rFonts w:ascii="FreeSans" w:hAnsi="FreeSans"/>
        </w:rPr>
        <w:t xml:space="preserve">. This step involved estimating the (p,d,q) requirements of the ARIMA model where p indicates the order of autoregression, d is the degree of differencing, and q is the order of the moving average involved. (SPSS/PC+ Trends, 1990). </w:t>
      </w:r>
    </w:p>
    <w:p>
      <w:pPr>
        <w:pStyle w:val="TextBody"/>
        <w:spacing w:lineRule="auto" w:line="360" w:before="285" w:after="285"/>
        <w:jc w:val="both"/>
        <w:rPr>
          <w:rFonts w:ascii="FreeSans" w:hAnsi="FreeSans"/>
        </w:rPr>
      </w:pPr>
      <w:r>
        <w:rPr>
          <w:rFonts w:ascii="FreeSans" w:hAnsi="FreeSans"/>
        </w:rPr>
        <w:t xml:space="preserve">The d parameter is the first ARIMA parameter specified.  Because of an understanding of the nature of media or government issues (mentions of a given issue fluctuate due to local, national, or world events or agendas), media issues and events are assumed to be stationary at this initial stage of the model-building process.  </w:t>
      </w:r>
    </w:p>
    <w:p>
      <w:pPr>
        <w:pStyle w:val="TextBody"/>
        <w:spacing w:lineRule="auto" w:line="360" w:before="285" w:after="285"/>
        <w:jc w:val="both"/>
        <w:rPr>
          <w:rFonts w:ascii="FreeSans" w:hAnsi="FreeSans"/>
        </w:rPr>
      </w:pPr>
      <w:r>
        <w:rPr>
          <w:rFonts w:ascii="FreeSans" w:hAnsi="FreeSans"/>
        </w:rPr>
        <w:t>More precise statistical processes identify the two remaining ARIMA model.  Autocorrelation function (ACF) and partial autocorrelation function (PACF) tests are conducted on each variable.  These functions determined the values of p and q for the ARIMA models.  If a minimum of one of the two variables in a given model show distinctive autocorrelations or partial autocorrelations, the p and q parameters are set according to modeling guidelines. (SPSS/PC+ Trends, 1990, Appendix 4). If no such correlations are present, the model may be tentatively identified as a (0,0,0) model (for p, d, and q).</w:t>
      </w:r>
    </w:p>
    <w:p>
      <w:pPr>
        <w:pStyle w:val="TextBody"/>
        <w:spacing w:lineRule="auto" w:line="360" w:before="285" w:after="285"/>
        <w:jc w:val="both"/>
        <w:rPr>
          <w:rFonts w:ascii="FreeSans" w:hAnsi="FreeSans"/>
        </w:rPr>
      </w:pPr>
      <w:r>
        <w:rPr>
          <w:rFonts w:ascii="FreeSans" w:hAnsi="FreeSans"/>
        </w:rPr>
        <w:t>The (0,0,0) model is equivalent to a standard regression equation for a time series with no controls for autocorrelations or partial autocorrelations.  Such a regression model may be used when errors or residuals from the regression are not correlated among themselves (SPSS/PC+ Trends, 1990, p. B-24).</w:t>
      </w:r>
    </w:p>
    <w:p>
      <w:pPr>
        <w:pStyle w:val="TextBody"/>
        <w:spacing w:lineRule="auto" w:line="360" w:before="285" w:after="285"/>
        <w:jc w:val="both"/>
        <w:rPr>
          <w:rFonts w:ascii="FreeSans" w:hAnsi="FreeSans"/>
        </w:rPr>
      </w:pPr>
      <w:r>
        <w:rPr>
          <w:rFonts w:ascii="FreeSans" w:hAnsi="FreeSans"/>
        </w:rPr>
        <w:t>After the individual models are identified, statistical testing supplies coefficients required for the ‘estimation’ step of ARIMA modeling, as detailed earlier.  After model selection and testing, errors in prediction or residuals from each model are diagnosed and the model is modified if necessary.  This last step of ARIMA modeling (diagnosis) ensures the model is suitable. The error series of each model should be examined for high-order correlations.  If no such patterns are evident after this test of residuals, the model may be accepted.</w:t>
      </w:r>
    </w:p>
    <w:p>
      <w:pPr>
        <w:pStyle w:val="TextBody"/>
        <w:spacing w:lineRule="auto" w:line="360" w:before="285" w:after="285"/>
        <w:jc w:val="both"/>
        <w:rPr>
          <w:rFonts w:ascii="FreeSans" w:hAnsi="FreeSans"/>
        </w:rPr>
      </w:pPr>
      <w:r>
        <w:rPr>
          <w:rFonts w:ascii="FreeSans" w:hAnsi="FreeSans"/>
        </w:rPr>
        <w:t xml:space="preserve">Reports should show the leading (independent) variable for each model with the dependent variable, the lag in days, the ARIMA model, the "B" coefficient, and the t-ratio.  The B "indicates the effect of the independent variable on the dependent variable." (Pedhazur, 1982, p. 15).  In other words, as in the interpretation of standard regression analyses, each unit change in the independent variable results in this expected change to the dependent variable at the lag indicated (Pedhazur, 1982).  The t-ratio, defined as "dividing the b by its standard error," is a test of significance appropriate for interpreting B. (Pedhazur, 1982, p. 286)  </w:t>
      </w:r>
    </w:p>
    <w:p>
      <w:pPr>
        <w:pStyle w:val="Heading1"/>
        <w:numPr>
          <w:ilvl w:val="0"/>
          <w:numId w:val="2"/>
        </w:numPr>
        <w:rPr/>
      </w:pPr>
      <w:r>
        <w:rPr/>
        <w:t>Application in mass communication research</w:t>
        <w:tab/>
      </w:r>
    </w:p>
    <w:p>
      <w:pPr>
        <w:pStyle w:val="TextBody"/>
        <w:spacing w:lineRule="auto" w:line="360" w:before="285" w:after="285"/>
        <w:jc w:val="both"/>
        <w:rPr>
          <w:rFonts w:ascii="Times New Roman" w:hAnsi="Times New Roman" w:eastAsia="MS Mincho" w:cs="Times New Roman"/>
          <w:sz w:val="24"/>
          <w:szCs w:val="24"/>
        </w:rPr>
      </w:pPr>
      <w:r>
        <w:rPr>
          <w:rFonts w:ascii="FreeSans" w:hAnsi="FreeSans"/>
        </w:rPr>
        <w:t>Using such ARIMA modeling, the author examined key issues and events in two separate time periods during the 1990-91 Gulf War. The process is viewed through application of ARIMA modeling to an issue-by-issue approach and the examination of influences between types of media (print and television) and between media and government sources.  A model for understanding the dynamics of public opinion, public policy and media agendas, called agenda-opinion congruence, provided additional understanding of these dynamics (Christie, 1993).</w:t>
      </w:r>
    </w:p>
    <w:p>
      <w:pPr>
        <w:pStyle w:val="Heading2"/>
        <w:numPr>
          <w:ilvl w:val="1"/>
          <w:numId w:val="2"/>
        </w:numPr>
        <w:rPr/>
      </w:pPr>
      <w:r>
        <w:rPr/>
        <w:t>Issue Reverberations</w:t>
      </w:r>
    </w:p>
    <w:p>
      <w:pPr>
        <w:pStyle w:val="TextBody"/>
        <w:spacing w:lineRule="auto" w:line="360" w:before="285" w:after="285"/>
        <w:jc w:val="both"/>
        <w:rPr>
          <w:rFonts w:ascii="FreeSans" w:hAnsi="FreeSans"/>
        </w:rPr>
      </w:pPr>
      <w:r>
        <w:rPr>
          <w:rFonts w:ascii="FreeSans" w:hAnsi="FreeSans"/>
        </w:rPr>
        <w:t>After testing my hypothesis in the Gulf War study, I noted several patterns of prediction which may be useful in future agenda-setting or agenda-building research.  One pattern was the dominance of multiple lagged-predictions by the same source on key issues and events.  This suggests that issue prediction is not a simple "one lag" process; several lags may be occurring between types of media or between media and government sources.  Another pattern observed was the dramatic increase in total predictions from different time frames across all issues (not just common issues).  While this pattern also supports the model of agenda-opinion congruence, it may also indicate higher levels of issue prediction between types of media and between media and government sources when public interest is heightened.</w:t>
      </w:r>
    </w:p>
    <w:p>
      <w:pPr>
        <w:pStyle w:val="TextBody"/>
        <w:spacing w:lineRule="auto" w:line="360" w:before="285" w:after="285"/>
        <w:jc w:val="both"/>
        <w:rPr>
          <w:rFonts w:ascii="FreeSans" w:hAnsi="FreeSans"/>
        </w:rPr>
      </w:pPr>
      <w:r>
        <w:rPr>
          <w:rFonts w:ascii="FreeSans" w:hAnsi="FreeSans"/>
        </w:rPr>
        <w:t xml:space="preserve">Another pattern noted on several issues and events was the tendency of both sources -- either media and government or media and media -- to lead each other on the same issue or event (with varying lags).  In some instances, the media predict government mentions in more instances (on more lags) than the government predicted media mentions.  This pattern of unequal influences does not appear to be clearly reciprocal, as one source predicts on more lags than the other source in the equation.  A comparison could be made to reverberations of echoes.  As in the case of an echo's reverberations, it is difficult to tell where the echo, or first prediction of the issue or event, begins.  Also, once started, the source may "bounce back" a reverberation to the source it influences a varying number of times, with varying intensity.  Therefore, even though one source may reverberate more than the other, the "louder" or first source could conceivably not be the first predictor or "agenda setter."  </w:t>
      </w:r>
    </w:p>
    <w:p>
      <w:pPr>
        <w:pStyle w:val="TextBody"/>
        <w:spacing w:lineRule="auto" w:line="360" w:before="0" w:after="0"/>
        <w:jc w:val="both"/>
        <w:rPr>
          <w:rFonts w:ascii="FreeSans" w:hAnsi="FreeSans"/>
        </w:rPr>
      </w:pPr>
      <w:r>
        <w:rPr>
          <w:rFonts w:ascii="FreeSans" w:hAnsi="FreeSans"/>
        </w:rPr>
        <w:t>This effect suggests that the communications process in these studies is complex, and that the issues or events may undergo refining and reshaping.  Findings on this effect also suggest that these changes occur through a relatively short time cycle during periods of national crisis.  For example, while the media may first shape an event or issue, the media interpretation may be changed and refined as the media agenda interacts (reverberates) with the policy agenda.  The resulting issue or event will probably be shaped by a combination of policy, media, public, and other influences in a dynamic process.  The reverberating effect also suggests that issues and events may even take on a life of their own once introduced.  The effect could explain that, while policy makers may successfully introduce new issues (or events) to the media and public agendas, the issue or event changes into a form not envisioned at the start.  The finding of this issue-reverberation effect was made possible by using ARIMA modeling.</w:t>
      </w:r>
    </w:p>
    <w:p>
      <w:pPr>
        <w:pStyle w:val="TextBody"/>
        <w:spacing w:lineRule="auto" w:line="360"/>
        <w:rPr>
          <w:rFonts w:ascii="FreeSans" w:hAnsi="FreeSans"/>
        </w:rPr>
      </w:pPr>
      <w:r>
        <w:rPr>
          <w:rFonts w:ascii="FreeSans" w:hAnsi="FreeSans"/>
        </w:rPr>
      </w:r>
    </w:p>
    <w:p>
      <w:pPr>
        <w:pStyle w:val="Heading1"/>
        <w:numPr>
          <w:ilvl w:val="0"/>
          <w:numId w:val="2"/>
        </w:numPr>
        <w:rPr>
          <w:rFonts w:ascii="Times New Roman" w:hAnsi="Times New Roman" w:eastAsia="MS Mincho" w:cs="Times New Roman"/>
          <w:b/>
          <w:b/>
          <w:sz w:val="28"/>
          <w:szCs w:val="28"/>
        </w:rPr>
      </w:pPr>
      <w:r>
        <w:rPr/>
        <w:t>Conclusion</w:t>
      </w:r>
    </w:p>
    <w:p>
      <w:pPr>
        <w:pStyle w:val="TextBody"/>
        <w:spacing w:lineRule="auto" w:line="360"/>
        <w:jc w:val="both"/>
        <w:rPr>
          <w:rFonts w:ascii="FreeSans" w:hAnsi="FreeSans"/>
        </w:rPr>
      </w:pPr>
      <w:r>
        <w:rPr>
          <w:rFonts w:ascii="FreeSans" w:hAnsi="FreeSans"/>
        </w:rPr>
        <w:t xml:space="preserve">The issue-reverberation effect found through ARIMA modeling may provide substantial insight into future agenda-setting and agenda-building studies.  The effect shows that agenda influencing is not a simple "one-lag" process; it may help explain previously hidden characteristics of the birth of agenda issues and events. The design of the issue-by-issue analysis is a departure from previous agenda-setting research, which incorporated a ranking of issues.  This approach confirms that individual issues and events within an agenda can be studied separately by ARIMA modeling.  The results also suggested that issue prediction between types of media and media and government sources occurs within days rather than weeks or months. </w:t>
      </w:r>
    </w:p>
    <w:p>
      <w:pPr>
        <w:pStyle w:val="TextBody"/>
        <w:spacing w:lineRule="auto" w:line="360"/>
        <w:rPr>
          <w:rFonts w:ascii="FreeSans" w:hAnsi="FreeSans"/>
        </w:rPr>
      </w:pPr>
      <w:r>
        <w:rPr>
          <w:rFonts w:ascii="FreeSans" w:hAnsi="FreeSans"/>
        </w:rPr>
      </w:r>
    </w:p>
    <w:p>
      <w:pPr>
        <w:pStyle w:val="TextBody"/>
        <w:spacing w:lineRule="auto" w:line="360"/>
        <w:rPr>
          <w:rFonts w:ascii="FreeSans" w:hAnsi="FreeSans"/>
        </w:rPr>
      </w:pPr>
      <w:r>
        <w:rPr>
          <w:rFonts w:ascii="FreeSans" w:hAnsi="FreeSans"/>
        </w:rPr>
        <w:tab/>
        <w:tab/>
        <w:tab/>
      </w:r>
    </w:p>
    <w:p>
      <w:pPr>
        <w:pStyle w:val="Heading1"/>
        <w:numPr>
          <w:ilvl w:val="0"/>
          <w:numId w:val="2"/>
        </w:numPr>
        <w:rPr>
          <w:b/>
          <w:b/>
          <w:i/>
          <w:i/>
        </w:rPr>
      </w:pPr>
      <w:r>
        <w:rPr/>
        <w:t>Bibliography</w:t>
      </w:r>
    </w:p>
    <w:p>
      <w:pPr>
        <w:pStyle w:val="TextBody"/>
        <w:spacing w:lineRule="auto" w:line="360" w:before="0" w:after="0"/>
        <w:rPr>
          <w:rFonts w:ascii="FreeSans" w:hAnsi="FreeSans"/>
        </w:rPr>
      </w:pPr>
      <w:r>
        <w:rPr>
          <w:rFonts w:ascii="FreeSans" w:hAnsi="FreeSans"/>
        </w:rPr>
        <w:t>Christie, T. (1993).  Agenda-Opinion Congruence: The Dynamics of Public Policy, Public Opinion, and Mass Media Agendas During the Persian Gulf War.  Unpublished doctoral dissertation, University of North Carolina, Chapel Hill.</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Dearing, J. W. (1989). Setting the polling agenda for the issue of AIDS. Public Opinion Quarterly 53, 309-329.</w:t>
      </w:r>
    </w:p>
    <w:p>
      <w:pPr>
        <w:pStyle w:val="TextBody"/>
        <w:spacing w:lineRule="auto" w:line="360" w:before="0" w:after="0"/>
        <w:rPr>
          <w:sz w:val="24"/>
          <w:szCs w:val="24"/>
        </w:rPr>
      </w:pPr>
      <w:r>
        <w:rPr>
          <w:sz w:val="24"/>
          <w:szCs w:val="24"/>
        </w:rPr>
      </w:r>
    </w:p>
    <w:p>
      <w:pPr>
        <w:pStyle w:val="TextBody"/>
        <w:spacing w:lineRule="auto" w:line="360" w:before="0" w:after="0"/>
        <w:rPr>
          <w:rFonts w:ascii="FreeSans" w:hAnsi="FreeSans"/>
        </w:rPr>
      </w:pPr>
      <w:r>
        <w:rPr>
          <w:rFonts w:ascii="FreeSans" w:hAnsi="FreeSans"/>
        </w:rPr>
        <w:t>Elias, S. N. (1990) "American Newspapers Editorials on the Vietnam War:  An Experimental Approach to Editorial Content Analysis," paper presented to the Association for Education in Journalism, Seattle, Washington, August 1978, cited by Mark D. West, "Agenda Dynamics and the Conflict in Indochina, 1964-1968" (Ph.D. dissertation, University of North Carolina), p 66.</w:t>
      </w:r>
    </w:p>
    <w:p>
      <w:pPr>
        <w:pStyle w:val="TextBody"/>
        <w:spacing w:lineRule="auto" w:line="360" w:before="0" w:after="0"/>
        <w:rPr>
          <w:rFonts w:ascii="Times New Roman" w:hAnsi="Times New Roman" w:eastAsia="MS Mincho" w:cs="Times New Roman"/>
          <w:sz w:val="24"/>
          <w:szCs w:val="24"/>
        </w:rPr>
      </w:pPr>
      <w:r>
        <w:rPr>
          <w:rFonts w:eastAsia="MS Mincho" w:cs="Times New Roman"/>
          <w:sz w:val="24"/>
          <w:szCs w:val="24"/>
        </w:rPr>
      </w:r>
    </w:p>
    <w:p>
      <w:pPr>
        <w:pStyle w:val="TextBody"/>
        <w:spacing w:lineRule="auto" w:line="360" w:before="0" w:after="0"/>
        <w:rPr>
          <w:rFonts w:ascii="FreeSans" w:hAnsi="FreeSans"/>
        </w:rPr>
      </w:pPr>
      <w:r>
        <w:rPr>
          <w:rFonts w:ascii="FreeSans" w:hAnsi="FreeSans"/>
        </w:rPr>
        <w:t>Gonzenbach, W. J. (1991, May). A Time-Series Analysis of the Drug Issue, 1985-1990:  The Press, the President and Public Opinion. Paper presented to the American Association of Public Opinion Research, Phoenix, Arizona.</w:t>
      </w:r>
    </w:p>
    <w:p>
      <w:pPr>
        <w:pStyle w:val="TextBody"/>
        <w:spacing w:lineRule="auto" w:line="360" w:before="0" w:after="0"/>
        <w:rPr>
          <w:rFonts w:ascii="Times New Roman" w:hAnsi="Times New Roman" w:eastAsia="MS Mincho" w:cs="Times New Roman"/>
          <w:sz w:val="24"/>
          <w:szCs w:val="24"/>
        </w:rPr>
      </w:pPr>
      <w:r>
        <w:rPr>
          <w:rFonts w:eastAsia="MS Mincho" w:cs="Times New Roman"/>
          <w:sz w:val="24"/>
          <w:szCs w:val="24"/>
        </w:rPr>
      </w:r>
    </w:p>
    <w:p>
      <w:pPr>
        <w:pStyle w:val="TextBody"/>
        <w:spacing w:lineRule="auto" w:line="360" w:before="0" w:after="0"/>
        <w:rPr>
          <w:rFonts w:ascii="FreeSans" w:hAnsi="FreeSans"/>
        </w:rPr>
      </w:pPr>
      <w:r>
        <w:rPr>
          <w:rFonts w:ascii="FreeSans" w:hAnsi="FreeSans"/>
        </w:rPr>
        <w:t>Graber, D. (2005). Mass Media and American Politics. Washington: CQ Press.</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Lang, G and Lang, K. (1981). Watergate:  An Exploration of the Agenda-Building Process, Mass Communication Review Yearbook 2, 447-68.</w:t>
      </w:r>
    </w:p>
    <w:p>
      <w:pPr>
        <w:pStyle w:val="TextBody"/>
        <w:spacing w:lineRule="auto" w:line="360"/>
        <w:rPr>
          <w:rFonts w:eastAsia="MS Mincho"/>
        </w:rPr>
      </w:pPr>
      <w:r>
        <w:rPr>
          <w:rFonts w:eastAsia="MS Mincho"/>
        </w:rPr>
      </w:r>
    </w:p>
    <w:p>
      <w:pPr>
        <w:pStyle w:val="TextBody"/>
        <w:spacing w:lineRule="auto" w:line="360" w:before="0" w:after="0"/>
        <w:rPr>
          <w:rFonts w:ascii="FreeSans" w:hAnsi="FreeSans"/>
        </w:rPr>
      </w:pPr>
      <w:r>
        <w:rPr>
          <w:rFonts w:ascii="FreeSans" w:hAnsi="FreeSans"/>
        </w:rPr>
        <w:t>Katz, E. and Lazarsfeld, P. (1955). Personal Influence (New York: Free Press).</w:t>
      </w:r>
    </w:p>
    <w:p>
      <w:pPr>
        <w:pStyle w:val="TextBody"/>
        <w:spacing w:lineRule="auto" w:line="360" w:before="0" w:after="0"/>
        <w:rPr>
          <w:rFonts w:ascii="Times New Roman" w:hAnsi="Times New Roman" w:eastAsia="MS Mincho" w:cs="Times New Roman"/>
          <w:sz w:val="24"/>
          <w:szCs w:val="24"/>
        </w:rPr>
      </w:pPr>
      <w:r>
        <w:rPr>
          <w:rFonts w:eastAsia="MS Mincho" w:cs="Times New Roman"/>
          <w:sz w:val="24"/>
          <w:szCs w:val="24"/>
        </w:rPr>
      </w:r>
    </w:p>
    <w:p>
      <w:pPr>
        <w:pStyle w:val="TextBody"/>
        <w:spacing w:lineRule="auto" w:line="360" w:before="0" w:after="0"/>
        <w:rPr>
          <w:rFonts w:ascii="FreeSans" w:hAnsi="FreeSans"/>
        </w:rPr>
      </w:pPr>
      <w:r>
        <w:rPr>
          <w:rFonts w:ascii="FreeSans" w:hAnsi="FreeSans"/>
        </w:rPr>
        <w:t>Kim, Y, Gonzenbach, W., Vargo, C. and Kim, Y. (2016). First and Second Level of Intermedia Agenda Setting: Political Advertising, Newspapers, and Twitter During the 2012 U.S. Presidential Election. International Journal of Communication, 10: 4550-4569.</w:t>
      </w:r>
    </w:p>
    <w:p>
      <w:pPr>
        <w:pStyle w:val="TextBody"/>
        <w:spacing w:lineRule="auto" w:line="360" w:before="0" w:after="0"/>
        <w:rPr>
          <w:rFonts w:ascii="Times New Roman" w:hAnsi="Times New Roman" w:eastAsia="MS Mincho" w:cs="Times New Roman"/>
          <w:sz w:val="24"/>
          <w:szCs w:val="24"/>
        </w:rPr>
      </w:pPr>
      <w:r>
        <w:rPr>
          <w:rFonts w:eastAsia="MS Mincho" w:cs="Times New Roman"/>
          <w:sz w:val="24"/>
          <w:szCs w:val="24"/>
        </w:rPr>
      </w:r>
    </w:p>
    <w:p>
      <w:pPr>
        <w:pStyle w:val="TextBody"/>
        <w:spacing w:lineRule="auto" w:line="360" w:before="0" w:after="0"/>
        <w:rPr>
          <w:rFonts w:ascii="FreeSans" w:hAnsi="FreeSans"/>
        </w:rPr>
      </w:pPr>
      <w:r>
        <w:rPr>
          <w:rFonts w:ascii="FreeSans" w:hAnsi="FreeSans"/>
        </w:rPr>
        <w:t>Lang, G. E., &amp; Lang, K. (1983). The Battle for Public Opinion:  The President, the Press, and the Polls during Watergate. New York: Columbia University Press.</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Lee, H. (2013). Do National economic and Political Conditions Affect Ideological Media Slant? Political Communication, 30, 395-418.</w:t>
      </w:r>
    </w:p>
    <w:p>
      <w:pPr>
        <w:pStyle w:val="TextBody"/>
        <w:spacing w:lineRule="auto" w:line="360" w:before="0" w:after="0"/>
        <w:rPr>
          <w:sz w:val="24"/>
          <w:szCs w:val="24"/>
        </w:rPr>
      </w:pPr>
      <w:r>
        <w:rPr>
          <w:sz w:val="24"/>
          <w:szCs w:val="24"/>
        </w:rPr>
      </w:r>
    </w:p>
    <w:p>
      <w:pPr>
        <w:pStyle w:val="TextBody"/>
        <w:spacing w:lineRule="auto" w:line="360" w:before="0" w:after="0"/>
        <w:rPr>
          <w:rFonts w:ascii="FreeSans" w:hAnsi="FreeSans"/>
        </w:rPr>
      </w:pPr>
      <w:r>
        <w:rPr>
          <w:rFonts w:ascii="FreeSans" w:hAnsi="FreeSans"/>
        </w:rPr>
        <w:t>Luttbeg, N. (1968). Public Opinion and Public Policy:  Models of Political Linkage. Homewood, Ill: Dorsey Press).</w:t>
      </w:r>
    </w:p>
    <w:p>
      <w:pPr>
        <w:pStyle w:val="TextBody"/>
        <w:spacing w:lineRule="auto" w:line="360" w:before="0" w:after="0"/>
        <w:rPr>
          <w:rFonts w:ascii="Times New Roman" w:hAnsi="Times New Roman" w:eastAsia="MS Mincho" w:cs="Times New Roman"/>
          <w:sz w:val="24"/>
          <w:szCs w:val="24"/>
        </w:rPr>
      </w:pPr>
      <w:r>
        <w:rPr>
          <w:rFonts w:eastAsia="MS Mincho" w:cs="Times New Roman"/>
          <w:sz w:val="24"/>
          <w:szCs w:val="24"/>
        </w:rPr>
      </w:r>
    </w:p>
    <w:p>
      <w:pPr>
        <w:pStyle w:val="TextBody"/>
        <w:spacing w:lineRule="auto" w:line="360" w:before="0" w:after="0"/>
        <w:rPr>
          <w:rFonts w:ascii="FreeSans" w:hAnsi="FreeSans"/>
        </w:rPr>
      </w:pPr>
      <w:r>
        <w:rPr>
          <w:rFonts w:ascii="FreeSans" w:hAnsi="FreeSans"/>
        </w:rPr>
        <w:t>McCain, L. and McLeary, R. (1979). The Statistical Analysis of the Simple Interrupted Time-Series Quasi-Experiment. In Thomas D. Cook and Donald T. Campbell, ed., Quasi-Experimentation; Design &amp; Analysis Issues for Field Settings. p. 241. Boston:  Houghton Mifflin.</w:t>
      </w:r>
    </w:p>
    <w:p>
      <w:pPr>
        <w:pStyle w:val="TextBody"/>
        <w:spacing w:lineRule="auto" w:line="360" w:before="0" w:after="0"/>
        <w:rPr>
          <w:rFonts w:eastAsia="MS Mincho"/>
          <w:sz w:val="24"/>
          <w:szCs w:val="24"/>
        </w:rPr>
      </w:pPr>
      <w:r>
        <w:rPr>
          <w:rFonts w:eastAsia="MS Mincho"/>
          <w:sz w:val="24"/>
          <w:szCs w:val="24"/>
        </w:rPr>
      </w:r>
    </w:p>
    <w:p>
      <w:pPr>
        <w:pStyle w:val="TextBody"/>
        <w:spacing w:lineRule="auto" w:line="360" w:before="0" w:after="0"/>
        <w:rPr>
          <w:rFonts w:ascii="FreeSans" w:hAnsi="FreeSans"/>
        </w:rPr>
      </w:pPr>
      <w:r>
        <w:rPr>
          <w:rFonts w:ascii="FreeSans" w:hAnsi="FreeSans"/>
        </w:rPr>
        <w:t xml:space="preserve">McCombs, M. E., &amp; Shaw, D. (1972). The Agenda-Setting Function of Mass Media. Public Opinion Quarterly, 36(Summer), 176-187. </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McQuail, D. (1987). Mass Communication Theory. London: Sage.</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Pedhazur, E. (1982). Multiple Regression in Behavioral Research, 2d ed. Fort Worth:  Holt, Rinehart and Winston.</w:t>
      </w:r>
    </w:p>
    <w:p>
      <w:pPr>
        <w:pStyle w:val="TextBody"/>
        <w:spacing w:lineRule="auto" w:line="360" w:before="0" w:after="0"/>
        <w:rPr>
          <w:rFonts w:ascii="Times New Roman" w:hAnsi="Times New Roman" w:eastAsia="MS Mincho" w:cs="Times New Roman"/>
          <w:sz w:val="24"/>
          <w:szCs w:val="24"/>
        </w:rPr>
      </w:pPr>
      <w:r>
        <w:rPr>
          <w:rFonts w:eastAsia="MS Mincho" w:cs="Times New Roman"/>
          <w:sz w:val="24"/>
          <w:szCs w:val="24"/>
        </w:rPr>
      </w:r>
    </w:p>
    <w:p>
      <w:pPr>
        <w:pStyle w:val="TextBody"/>
        <w:spacing w:lineRule="auto" w:line="360" w:before="0" w:after="0"/>
        <w:rPr>
          <w:rFonts w:ascii="FreeSans" w:hAnsi="FreeSans"/>
        </w:rPr>
      </w:pPr>
      <w:r>
        <w:rPr>
          <w:rFonts w:ascii="FreeSans" w:hAnsi="FreeSans"/>
        </w:rPr>
        <w:t xml:space="preserve">Rogers, E. M., &amp; Dearing, J. W. (1987). Agenda-Setting Research:  Where has it been, where is it going? Communication Yearbook, 11, 555-594. </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Rogers, E. , Dearing, J. and Chang, S (1991). AIDS in the 1980s:  The Agenda-Setting Process of a Public Issue," Journalism Monographs 126.</w:t>
      </w:r>
    </w:p>
    <w:p>
      <w:pPr>
        <w:pStyle w:val="TextBody"/>
        <w:spacing w:lineRule="auto" w:line="360" w:before="0" w:after="0"/>
        <w:rPr>
          <w:rFonts w:ascii="Times New Roman" w:hAnsi="Times New Roman" w:eastAsia="MS Mincho" w:cs="Times New Roman"/>
          <w:sz w:val="24"/>
          <w:szCs w:val="24"/>
        </w:rPr>
      </w:pPr>
      <w:r>
        <w:rPr>
          <w:rFonts w:eastAsia="MS Mincho" w:cs="Times New Roman"/>
          <w:sz w:val="24"/>
          <w:szCs w:val="24"/>
        </w:rPr>
      </w:r>
    </w:p>
    <w:p>
      <w:pPr>
        <w:pStyle w:val="TextBody"/>
        <w:spacing w:lineRule="auto" w:line="360" w:before="0" w:after="0"/>
        <w:rPr>
          <w:rFonts w:ascii="FreeSans" w:hAnsi="FreeSans"/>
        </w:rPr>
      </w:pPr>
      <w:r>
        <w:rPr>
          <w:rFonts w:ascii="FreeSans" w:hAnsi="FreeSans"/>
        </w:rPr>
        <w:t>Scheufele, B., Haas, A., and Brosius, H. (2011). Mirror or Molder? A Study of Media Coverage, Stock Prices, and Trading Volumes in Germany. Journal of Communication, 61:1.</w:t>
      </w:r>
    </w:p>
    <w:p>
      <w:pPr>
        <w:pStyle w:val="TextBody"/>
        <w:spacing w:lineRule="auto" w:line="360"/>
        <w:rPr>
          <w:rFonts w:ascii="Times New Roman" w:hAnsi="Times New Roman" w:eastAsia="MS Mincho" w:cs="Times New Roman"/>
          <w:sz w:val="24"/>
          <w:szCs w:val="24"/>
        </w:rPr>
      </w:pPr>
      <w:r>
        <w:rPr>
          <w:rFonts w:eastAsia="MS Mincho" w:cs="Times New Roman"/>
          <w:sz w:val="24"/>
          <w:szCs w:val="24"/>
        </w:rPr>
      </w:r>
    </w:p>
    <w:p>
      <w:pPr>
        <w:pStyle w:val="TextBody"/>
        <w:spacing w:lineRule="auto" w:line="360" w:before="0" w:after="0"/>
        <w:rPr>
          <w:rFonts w:ascii="FreeSans" w:hAnsi="FreeSans"/>
        </w:rPr>
      </w:pPr>
      <w:r>
        <w:rPr>
          <w:rFonts w:ascii="FreeSans" w:hAnsi="FreeSans"/>
        </w:rPr>
        <w:t xml:space="preserve">Severin, W. &amp; Tankard, J. (1988). Communication Theories: Origins, Methods, Uses. New York: Longman. </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Shaw, D..  and McCombs, M. ed. (1977). The Emergence of American Political Issues:  The Agenda-Setting Function of the Press. St. Paul: West.</w:t>
      </w:r>
    </w:p>
    <w:p>
      <w:pPr>
        <w:pStyle w:val="TextBody"/>
        <w:spacing w:lineRule="auto" w:line="360" w:before="0" w:after="0"/>
        <w:rPr>
          <w:rFonts w:ascii="Times New Roman" w:hAnsi="Times New Roman" w:eastAsia="MS Mincho" w:cs="Times New Roman"/>
          <w:sz w:val="24"/>
          <w:szCs w:val="24"/>
        </w:rPr>
      </w:pPr>
      <w:r>
        <w:rPr>
          <w:rFonts w:eastAsia="MS Mincho" w:cs="Times New Roman"/>
          <w:sz w:val="24"/>
          <w:szCs w:val="24"/>
        </w:rPr>
      </w:r>
    </w:p>
    <w:p>
      <w:pPr>
        <w:pStyle w:val="TextBody"/>
        <w:spacing w:lineRule="auto" w:line="360" w:before="0" w:after="0"/>
        <w:rPr>
          <w:rFonts w:ascii="FreeSans" w:hAnsi="FreeSans"/>
        </w:rPr>
      </w:pPr>
      <w:r>
        <w:rPr>
          <w:rFonts w:ascii="FreeSans" w:hAnsi="FreeSans"/>
        </w:rPr>
        <w:t>SPSS/PC+ Trends. Chicago: 1990.</w:t>
      </w:r>
    </w:p>
    <w:p>
      <w:pPr>
        <w:pStyle w:val="TextBody"/>
        <w:spacing w:lineRule="auto" w:line="360" w:before="0" w:after="0"/>
        <w:rPr>
          <w:rFonts w:ascii="Times New Roman" w:hAnsi="Times New Roman" w:eastAsia="MS Mincho" w:cs="Times New Roman"/>
          <w:sz w:val="24"/>
          <w:szCs w:val="24"/>
        </w:rPr>
      </w:pPr>
      <w:r>
        <w:rPr>
          <w:rFonts w:eastAsia="MS Mincho" w:cs="Times New Roman"/>
          <w:sz w:val="24"/>
          <w:szCs w:val="24"/>
        </w:rPr>
      </w:r>
    </w:p>
    <w:p>
      <w:pPr>
        <w:pStyle w:val="TextBody"/>
        <w:spacing w:lineRule="auto" w:line="360" w:before="0" w:after="0"/>
        <w:rPr>
          <w:rFonts w:ascii="FreeSans" w:hAnsi="FreeSans"/>
        </w:rPr>
      </w:pPr>
      <w:r>
        <w:rPr>
          <w:rFonts w:ascii="FreeSans" w:hAnsi="FreeSans"/>
        </w:rPr>
        <w:t>Tan, Y. and Weaver, D. (2013). Agenda Diversity and Agenda Setting From 1956 to 2004. Journalism Studies, 14:6, 773-789.</w:t>
      </w:r>
    </w:p>
    <w:p>
      <w:pPr>
        <w:pStyle w:val="TextBody"/>
        <w:spacing w:lineRule="auto" w:line="360" w:before="0" w:after="0"/>
        <w:rPr>
          <w:rFonts w:ascii="Times New Roman" w:hAnsi="Times New Roman" w:eastAsia="MS Mincho" w:cs="Times New Roman"/>
          <w:sz w:val="24"/>
          <w:szCs w:val="24"/>
        </w:rPr>
      </w:pPr>
      <w:r>
        <w:rPr>
          <w:rFonts w:eastAsia="MS Mincho" w:cs="Times New Roman"/>
          <w:sz w:val="24"/>
          <w:szCs w:val="24"/>
        </w:rPr>
      </w:r>
    </w:p>
    <w:p>
      <w:pPr>
        <w:pStyle w:val="TextBody"/>
        <w:spacing w:lineRule="auto" w:line="360" w:before="0" w:after="0"/>
        <w:rPr>
          <w:rFonts w:ascii="Times New Roman" w:hAnsi="Times New Roman" w:eastAsia="MS Mincho" w:cs="Times New Roman"/>
          <w:sz w:val="24"/>
          <w:szCs w:val="24"/>
        </w:rPr>
      </w:pPr>
      <w:r>
        <w:rPr>
          <w:rFonts w:ascii="FreeSans" w:hAnsi="FreeSans"/>
        </w:rPr>
        <w:t xml:space="preserve">Vargo, C.J. (2011, August). Twitter as public salience: An agenda-setting analysis. Paper presented at the Association for Education in Journalism and Mass Communication annual conference, St. Louis, MO. </w:t>
      </w:r>
    </w:p>
    <w:p>
      <w:pPr>
        <w:pStyle w:val="TextBody"/>
        <w:spacing w:lineRule="auto" w:line="360" w:before="0" w:after="0"/>
        <w:rPr>
          <w:rFonts w:ascii="FreeSans" w:hAnsi="FreeSans"/>
        </w:rPr>
      </w:pPr>
      <w:r>
        <w:rPr>
          <w:rFonts w:ascii="FreeSans" w:hAnsi="FreeSans"/>
        </w:rPr>
      </w:r>
    </w:p>
    <w:p>
      <w:pPr>
        <w:pStyle w:val="TextBody"/>
        <w:spacing w:lineRule="auto" w:line="360"/>
        <w:rPr>
          <w:rFonts w:ascii="FreeSans" w:hAnsi="FreeSans"/>
        </w:rPr>
      </w:pPr>
      <w:r>
        <w:rPr>
          <w:rFonts w:ascii="FreeSans" w:hAnsi="FreeSans"/>
        </w:rPr>
      </w:r>
    </w:p>
    <w:p>
      <w:pPr>
        <w:pStyle w:val="TextBody"/>
        <w:spacing w:lineRule="auto" w:line="360"/>
        <w:rPr>
          <w:rFonts w:ascii="FreeSans" w:hAnsi="FreeSans"/>
        </w:rPr>
      </w:pPr>
      <w:r>
        <w:rPr>
          <w:rFonts w:ascii="FreeSans" w:hAnsi="FreeSans"/>
        </w:rPr>
      </w:r>
    </w:p>
    <w:p>
      <w:pPr>
        <w:pStyle w:val="TextBody"/>
        <w:spacing w:lineRule="auto" w:line="360" w:before="0" w:after="140"/>
        <w:rPr/>
      </w:pPr>
      <w:r>
        <w:rPr/>
      </w:r>
      <w:bookmarkStart w:id="4" w:name="__DdeLink__23176_1677319845"/>
      <w:bookmarkStart w:id="5" w:name="__DdeLink__23176_1677319845"/>
      <w:bookmarkEnd w:id="5"/>
    </w:p>
    <w:sectPr>
      <w:footerReference w:type="default" r:id="rId2"/>
      <w:type w:val="nextPage"/>
      <w:pgSz w:w="12240" w:h="15840"/>
      <w:pgMar w:left="1417" w:right="1417" w:header="0" w:top="1417" w:footer="720" w:bottom="1440" w:gutter="0"/>
      <w:pgNumType w:start="0"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Courier New">
    <w:charset w:val="01"/>
    <w:family w:val="roman"/>
    <w:pitch w:val="variable"/>
  </w:font>
  <w:font w:name="Segoe UI">
    <w:charset w:val="01"/>
    <w:family w:val="roman"/>
    <w:pitch w:val="variable"/>
  </w:font>
  <w:font w:name="Liberation Sans">
    <w:altName w:val="Arial"/>
    <w:charset w:val="01"/>
    <w:family w:val="roman"/>
    <w:pitch w:val="variable"/>
  </w:font>
  <w:font w:name="FreeSans">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mc:AlternateContent>
        <mc:Choice Requires="wps">
          <w:drawing>
            <wp:anchor behindDoc="1" distT="0" distB="0" distL="0" distR="0" simplePos="0" locked="0" layoutInCell="1" allowOverlap="1" relativeHeight="12">
              <wp:simplePos x="0" y="0"/>
              <wp:positionH relativeFrom="margin">
                <wp:align>center</wp:align>
              </wp:positionH>
              <wp:positionV relativeFrom="paragraph">
                <wp:posOffset>635</wp:posOffset>
              </wp:positionV>
              <wp:extent cx="154305" cy="174625"/>
              <wp:effectExtent l="0" t="0" r="0" b="0"/>
              <wp:wrapSquare wrapText="largest"/>
              <wp:docPr id="1" name="Frame1"/>
              <a:graphic xmlns:a="http://schemas.openxmlformats.org/drawingml/2006/main">
                <a:graphicData uri="http://schemas.microsoft.com/office/word/2010/wordprocessingShape">
                  <wps:wsp>
                    <wps:cNvSpPr/>
                    <wps:spPr>
                      <a:xfrm>
                        <a:off x="0" y="0"/>
                        <a:ext cx="153720" cy="173880"/>
                      </a:xfrm>
                      <a:prstGeom prst="rect">
                        <a:avLst/>
                      </a:prstGeom>
                      <a:noFill/>
                      <a:ln>
                        <a:noFill/>
                      </a:ln>
                    </wps:spPr>
                    <wps:style>
                      <a:lnRef idx="0"/>
                      <a:fillRef idx="0"/>
                      <a:effectRef idx="0"/>
                      <a:fontRef idx="minor"/>
                    </wps:style>
                    <wps:txbx>
                      <w:txbxContent>
                        <w:p>
                          <w:pPr>
                            <w:pStyle w:val="Footer"/>
                            <w:rPr/>
                          </w:pPr>
                          <w:r>
                            <w:rPr>
                              <w:rStyle w:val="Pagenumber"/>
                              <w:color w:val="000000"/>
                            </w:rPr>
                            <w:fldChar w:fldCharType="begin"/>
                          </w:r>
                          <w:r>
                            <w:rPr>
                              <w:rStyle w:val="Pagenumber"/>
                            </w:rPr>
                            <w:instrText> PAGE </w:instrText>
                          </w:r>
                          <w:r>
                            <w:rPr>
                              <w:rStyle w:val="Pagenumber"/>
                            </w:rPr>
                            <w:fldChar w:fldCharType="separate"/>
                          </w:r>
                          <w:r>
                            <w:rPr>
                              <w:rStyle w:val="Pagenumber"/>
                            </w:rPr>
                            <w:t>8</w:t>
                          </w:r>
                          <w:r>
                            <w:rPr>
                              <w:rStyle w:val="Pagenumber"/>
                            </w:rPr>
                            <w:fldChar w:fldCharType="end"/>
                          </w:r>
                        </w:p>
                      </w:txbxContent>
                    </wps:txbx>
                    <wps:bodyPr lIns="0" rIns="0" tIns="0" bIns="0">
                      <a:spAutoFit/>
                    </wps:bodyPr>
                  </wps:wsp>
                </a:graphicData>
              </a:graphic>
            </wp:anchor>
          </w:drawing>
        </mc:Choice>
        <mc:Fallback>
          <w:pict>
            <v:rect id="shape_0" ID="Frame1" stroked="f" style="position:absolute;margin-left:229.1pt;margin-top:0.05pt;width:12.05pt;height:13.65pt;mso-position-horizontal:center;mso-position-horizontal-relative:margin">
              <w10:wrap type="square"/>
              <v:fill o:detectmouseclick="t" on="false"/>
              <v:stroke color="#3465a4" joinstyle="round" endcap="flat"/>
              <v:textbox>
                <w:txbxContent>
                  <w:p>
                    <w:pPr>
                      <w:pStyle w:val="Footer"/>
                      <w:rPr/>
                    </w:pPr>
                    <w:r>
                      <w:rPr>
                        <w:rStyle w:val="Pagenumber"/>
                        <w:color w:val="000000"/>
                      </w:rPr>
                      <w:fldChar w:fldCharType="begin"/>
                    </w:r>
                    <w:r>
                      <w:rPr>
                        <w:rStyle w:val="Pagenumber"/>
                      </w:rPr>
                      <w:instrText> PAGE </w:instrText>
                    </w:r>
                    <w:r>
                      <w:rPr>
                        <w:rStyle w:val="Pagenumber"/>
                      </w:rPr>
                      <w:fldChar w:fldCharType="separate"/>
                    </w:r>
                    <w:r>
                      <w:rPr>
                        <w:rStyle w:val="Pagenumber"/>
                      </w:rPr>
                      <w:t>8</w:t>
                    </w:r>
                    <w:r>
                      <w:rPr>
                        <w:rStyle w:val="Pagenumber"/>
                      </w:rPr>
                      <w:fldChar w:fldCharType="end"/>
                    </w:r>
                  </w:p>
                </w:txbxContent>
              </v:textbox>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ind w:left="0" w:hanging="0"/>
      </w:pPr>
    </w:lvl>
    <w:lvl w:ilvl="1">
      <w:start w:val="1"/>
      <w:pStyle w:val="Heading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81"/>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jc w:val="left"/>
    </w:pPr>
    <w:rPr>
      <w:rFonts w:ascii="Times New Roman" w:hAnsi="Times New Roman" w:eastAsia="Times New Roman" w:cs="Times New Roman"/>
      <w:color w:val="auto"/>
      <w:kern w:val="0"/>
      <w:sz w:val="24"/>
      <w:szCs w:val="24"/>
      <w:lang w:val="en-US" w:eastAsia="en-US" w:bidi="ar-SA"/>
    </w:rPr>
  </w:style>
  <w:style w:type="paragraph" w:styleId="Heading1">
    <w:name w:val="Heading 1"/>
    <w:basedOn w:val="Heading"/>
    <w:qFormat/>
    <w:pPr>
      <w:numPr>
        <w:ilvl w:val="0"/>
        <w:numId w:val="1"/>
      </w:numPr>
      <w:spacing w:before="240" w:after="120"/>
      <w:outlineLvl w:val="0"/>
    </w:pPr>
    <w:rPr>
      <w:b/>
      <w:bCs/>
      <w:sz w:val="36"/>
      <w:szCs w:val="36"/>
    </w:rPr>
  </w:style>
  <w:style w:type="paragraph" w:styleId="Heading2">
    <w:name w:val="Heading 2"/>
    <w:basedOn w:val="Heading"/>
    <w:qFormat/>
    <w:pPr>
      <w:numPr>
        <w:ilvl w:val="1"/>
        <w:numId w:val="1"/>
      </w:numPr>
      <w:spacing w:before="200" w:after="120"/>
      <w:outlineLvl w:val="1"/>
    </w:pPr>
    <w:rPr>
      <w:b/>
      <w:bCs/>
      <w:sz w:val="32"/>
      <w:szCs w:val="32"/>
    </w:rPr>
  </w:style>
  <w:style w:type="character" w:styleId="DefaultParagraphFont" w:default="1">
    <w:name w:val="Default Paragraph Font"/>
    <w:uiPriority w:val="1"/>
    <w:semiHidden/>
    <w:unhideWhenUsed/>
    <w:qFormat/>
    <w:rPr/>
  </w:style>
  <w:style w:type="character" w:styleId="FootnoteCharacters">
    <w:name w:val="Footnote Characters"/>
    <w:semiHidden/>
    <w:qFormat/>
    <w:rPr>
      <w:vertAlign w:val="superscript"/>
    </w:rPr>
  </w:style>
  <w:style w:type="character" w:styleId="FootnoteAnchor">
    <w:name w:val="Footnote Anchor"/>
    <w:rPr>
      <w:vertAlign w:val="superscript"/>
    </w:rPr>
  </w:style>
  <w:style w:type="character" w:styleId="Pagenumber">
    <w:name w:val="page number"/>
    <w:basedOn w:val="DefaultParagraphFont"/>
    <w:semiHidden/>
    <w:qFormat/>
    <w:rPr/>
  </w:style>
  <w:style w:type="character" w:styleId="PlainTextChar" w:customStyle="1">
    <w:name w:val="Plain Text Char"/>
    <w:link w:val="PlainText"/>
    <w:qFormat/>
    <w:rsid w:val="00541dc5"/>
    <w:rPr>
      <w:rFonts w:ascii="Courier New" w:hAnsi="Courier New" w:cs="Courier New"/>
    </w:rPr>
  </w:style>
  <w:style w:type="character" w:styleId="BalloonTextChar" w:customStyle="1">
    <w:name w:val="Balloon Text Char"/>
    <w:basedOn w:val="DefaultParagraphFont"/>
    <w:link w:val="BalloonText"/>
    <w:uiPriority w:val="99"/>
    <w:semiHidden/>
    <w:qFormat/>
    <w:rsid w:val="00bd7f30"/>
    <w:rPr>
      <w:rFonts w:ascii="Segoe UI" w:hAnsi="Segoe UI" w:cs="Segoe UI"/>
      <w:sz w:val="18"/>
      <w:szCs w:val="18"/>
    </w:rPr>
  </w:style>
  <w:style w:type="character" w:styleId="FootnoteTextChar" w:customStyle="1">
    <w:name w:val="Footnote Text Char"/>
    <w:basedOn w:val="DefaultParagraphFont"/>
    <w:link w:val="FootnoteText"/>
    <w:semiHidden/>
    <w:qFormat/>
    <w:rsid w:val="000d5069"/>
    <w:rPr/>
  </w:style>
  <w:style w:type="character" w:styleId="EndnoteCharacters">
    <w:name w:val="Endnote Characters"/>
    <w:qFormat/>
    <w:rPr/>
  </w:style>
  <w:style w:type="character" w:styleId="EndnoteAnchor">
    <w:name w:val="Endnote Anchor"/>
    <w:rPr>
      <w:vertAlign w:val="superscript"/>
    </w:rPr>
  </w:style>
  <w:style w:type="paragraph" w:styleId="Heading">
    <w:name w:val="Heading"/>
    <w:basedOn w:val="Normal"/>
    <w:next w:val="TextBody"/>
    <w:qFormat/>
    <w:pPr>
      <w:keepNext w:val="true"/>
      <w:spacing w:before="240" w:after="120"/>
    </w:pPr>
    <w:rPr>
      <w:rFonts w:ascii="Liberation Sans" w:hAnsi="Liberation Sans" w:eastAsia="Noto Sans CJK SC Regular"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PlainText">
    <w:name w:val="Plain Text"/>
    <w:basedOn w:val="Normal"/>
    <w:link w:val="PlainTextChar"/>
    <w:qFormat/>
    <w:pPr/>
    <w:rPr>
      <w:rFonts w:ascii="Courier New" w:hAnsi="Courier New" w:cs="Courier New"/>
      <w:sz w:val="20"/>
      <w:szCs w:val="20"/>
    </w:rPr>
  </w:style>
  <w:style w:type="paragraph" w:styleId="Footnote">
    <w:name w:val="Footnote Text"/>
    <w:basedOn w:val="Normal"/>
    <w:link w:val="FootnoteTextChar"/>
    <w:semiHidden/>
    <w:pPr/>
    <w:rPr>
      <w:sz w:val="20"/>
      <w:szCs w:val="20"/>
    </w:rPr>
  </w:style>
  <w:style w:type="paragraph" w:styleId="Footer">
    <w:name w:val="Footer"/>
    <w:basedOn w:val="Normal"/>
    <w:semiHidden/>
    <w:pPr>
      <w:tabs>
        <w:tab w:val="center" w:pos="4320" w:leader="none"/>
        <w:tab w:val="right" w:pos="8640" w:leader="none"/>
      </w:tabs>
    </w:pPr>
    <w:rPr/>
  </w:style>
  <w:style w:type="paragraph" w:styleId="BalloonText">
    <w:name w:val="Balloon Text"/>
    <w:basedOn w:val="Normal"/>
    <w:link w:val="BalloonTextChar"/>
    <w:uiPriority w:val="99"/>
    <w:semiHidden/>
    <w:unhideWhenUsed/>
    <w:qFormat/>
    <w:rsid w:val="00bd7f30"/>
    <w:pPr/>
    <w:rPr>
      <w:rFonts w:ascii="Segoe UI" w:hAnsi="Segoe UI" w:cs="Segoe UI"/>
      <w:sz w:val="18"/>
      <w:szCs w:val="18"/>
    </w:rPr>
  </w:style>
  <w:style w:type="paragraph" w:styleId="FrameContents">
    <w:name w:val="Frame Contents"/>
    <w:basedOn w:val="Normal"/>
    <w:qFormat/>
    <w:pPr/>
    <w:rPr/>
  </w:style>
  <w:style w:type="paragraph" w:styleId="Title">
    <w:name w:val="Title"/>
    <w:basedOn w:val="Heading"/>
    <w:qFormat/>
    <w:pPr>
      <w:spacing w:lineRule="auto" w:line="276"/>
      <w:jc w:val="center"/>
    </w:pPr>
    <w:rPr>
      <w:rFonts w:ascii="FreeSans" w:hAnsi="FreeSans"/>
      <w:b/>
      <w:bCs/>
      <w:sz w:val="56"/>
      <w:szCs w:val="56"/>
    </w:rPr>
  </w:style>
  <w:style w:type="paragraph" w:styleId="Subtitle">
    <w:name w:val="Subtitle"/>
    <w:basedOn w:val="Heading"/>
    <w:qFormat/>
    <w:pPr>
      <w:spacing w:before="60" w:after="120"/>
      <w:jc w:val="center"/>
    </w:pPr>
    <w:rPr>
      <w:rFonts w:ascii="FreeSans" w:hAnsi="FreeSans"/>
      <w:sz w:val="32"/>
      <w:szCs w:val="32"/>
    </w:rPr>
  </w:style>
  <w:style w:type="paragraph" w:styleId="Endnote">
    <w:name w:val="Endnote Text"/>
    <w:basedOn w:val="Normal"/>
    <w:pPr>
      <w:suppressLineNumbers/>
      <w:ind w:left="339" w:hanging="339"/>
    </w:pPr>
    <w:rPr>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6D13A-3D23-4543-89D0-53EA07075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2982</TotalTime>
  <Application>LibreOffice/6.0.6.2$Linux_X86_64 LibreOffice_project/00m0$Build-2</Application>
  <Pages>13</Pages>
  <Words>3482</Words>
  <Characters>19101</Characters>
  <CharactersWithSpaces>22700</CharactersWithSpaces>
  <Paragraphs>75</Paragraphs>
  <Company>home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2018-10-14T04:41:00Z</dcterms:created>
  <dc:creator>myname</dc:creator>
  <dc:description/>
  <dc:language>en-AU</dc:language>
  <cp:lastModifiedBy/>
  <cp:lastPrinted>2018-10-15T16:43:00Z</cp:lastPrinted>
  <dcterms:modified xsi:type="dcterms:W3CDTF">2018-11-28T14:38:23Z</dcterms:modified>
  <cp:revision>51</cp:revision>
  <dc:subject/>
  <dc:title>ABSTRACT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home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