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0"/>
        <w:rPr/>
      </w:pPr>
      <w:r>
        <w:rPr/>
        <w:t>Association between socioeconomic and geographical factors in severely injured trauma patients using trauma registry data.</w:t>
      </w:r>
    </w:p>
    <w:p>
      <w:pPr>
        <w:pStyle w:val="Normal"/>
        <w:spacing w:before="240" w:after="0"/>
        <w:jc w:val="center"/>
        <w:rPr>
          <w:b/>
          <w:b/>
          <w:bCs/>
          <w:color w:val="000000" w:themeColor="text1"/>
          <w:sz w:val="28"/>
          <w:szCs w:val="28"/>
        </w:rPr>
      </w:pPr>
      <w:r>
        <w:rPr>
          <w:b/>
          <w:bCs/>
          <w:color w:val="000000" w:themeColor="text1"/>
          <w:sz w:val="28"/>
          <w:szCs w:val="28"/>
        </w:rPr>
      </w:r>
    </w:p>
    <w:p>
      <w:pPr>
        <w:pStyle w:val="Normal"/>
        <w:rPr>
          <w:b/>
          <w:b/>
          <w:bCs/>
          <w:color w:val="000000" w:themeColor="text1"/>
        </w:rPr>
      </w:pPr>
      <w:r>
        <w:rPr/>
      </w:r>
    </w:p>
    <w:p>
      <w:pPr>
        <w:pStyle w:val="Subtitle"/>
        <w:rPr/>
      </w:pPr>
      <w:r>
        <w:rPr>
          <w:b/>
          <w:bCs/>
          <w:color w:val="000000"/>
        </w:rPr>
        <w:t xml:space="preserve">Heathcote, Katherine Elizabeth </w:t>
      </w:r>
      <w:r>
        <w:rPr>
          <w:b w:val="false"/>
          <w:bCs w:val="false"/>
          <w:i/>
          <w:iCs/>
          <w:color w:val="000000"/>
        </w:rPr>
        <w:t>Griffith University School of Medicine</w:t>
      </w:r>
    </w:p>
    <w:p>
      <w:pPr>
        <w:pStyle w:val="Subtitle"/>
        <w:rPr/>
      </w:pPr>
      <w:r>
        <w:rPr>
          <w:b/>
          <w:bCs/>
          <w:i w:val="false"/>
          <w:iCs w:val="false"/>
          <w:color w:val="000000"/>
        </w:rPr>
        <w:t>Gardiner, Ben</w:t>
      </w:r>
      <w:r>
        <w:rPr>
          <w:b w:val="false"/>
          <w:bCs w:val="false"/>
          <w:i/>
          <w:iCs/>
          <w:color w:val="000000"/>
        </w:rPr>
        <w:t xml:space="preserve"> Gold Coast University Hospital and  Griffith University School of Medicine</w:t>
      </w:r>
    </w:p>
    <w:p>
      <w:pPr>
        <w:pStyle w:val="Subtitle"/>
        <w:rPr>
          <w:b/>
          <w:b/>
          <w:bCs/>
          <w:i w:val="false"/>
          <w:i w:val="false"/>
          <w:iCs w:val="false"/>
        </w:rPr>
      </w:pPr>
      <w:r>
        <w:rPr>
          <w:b/>
          <w:bCs/>
          <w:i w:val="false"/>
          <w:iCs w:val="false"/>
          <w:color w:val="000000"/>
        </w:rPr>
        <w:t xml:space="preserve">Barbagallo, Holly </w:t>
      </w:r>
      <w:r>
        <w:rPr>
          <w:b w:val="false"/>
          <w:bCs w:val="false"/>
          <w:i/>
          <w:iCs/>
          <w:color w:val="000000"/>
        </w:rPr>
        <w:t>Griffith University School of Medicine</w:t>
      </w:r>
    </w:p>
    <w:p>
      <w:pPr>
        <w:pStyle w:val="Subtitle"/>
        <w:rPr>
          <w:b/>
          <w:b/>
          <w:bCs/>
          <w:i w:val="false"/>
          <w:i w:val="false"/>
          <w:iCs w:val="false"/>
        </w:rPr>
      </w:pPr>
      <w:r>
        <w:rPr>
          <w:b/>
          <w:bCs/>
          <w:i w:val="false"/>
          <w:iCs w:val="false"/>
          <w:color w:val="000000"/>
        </w:rPr>
        <w:t xml:space="preserve">Sun, Jing </w:t>
      </w:r>
      <w:r>
        <w:rPr>
          <w:b w:val="false"/>
          <w:bCs w:val="false"/>
          <w:i/>
          <w:iCs/>
          <w:color w:val="000000"/>
        </w:rPr>
        <w:t>Griffith University School of Medicine</w:t>
      </w:r>
    </w:p>
    <w:p>
      <w:pPr>
        <w:pStyle w:val="Subtitle"/>
        <w:rPr/>
      </w:pPr>
      <w:r>
        <w:rPr>
          <w:b/>
          <w:bCs/>
          <w:color w:val="000000"/>
        </w:rPr>
        <w:t>Wullschleger, Martin</w:t>
      </w:r>
      <w:r>
        <w:rPr>
          <w:color w:val="000000"/>
        </w:rPr>
        <w:t xml:space="preserve"> </w:t>
      </w:r>
      <w:r>
        <w:rPr>
          <w:b w:val="false"/>
          <w:bCs w:val="false"/>
          <w:i/>
          <w:iCs/>
          <w:color w:val="000000"/>
        </w:rPr>
        <w:t>Gold Coast University Hospital and  Griffith University School of Medicine</w:t>
      </w:r>
    </w:p>
    <w:p>
      <w:pPr>
        <w:pStyle w:val="Normal"/>
        <w:spacing w:before="240" w:after="0"/>
        <w:jc w:val="center"/>
        <w:rPr>
          <w:b/>
          <w:b/>
          <w:bCs/>
          <w:color w:val="000000" w:themeColor="text1"/>
          <w:sz w:val="28"/>
          <w:szCs w:val="28"/>
        </w:rPr>
      </w:pPr>
      <w:r>
        <w:rPr>
          <w:b/>
          <w:bCs/>
          <w:color w:val="000000" w:themeColor="text1"/>
          <w:sz w:val="28"/>
          <w:szCs w:val="28"/>
        </w:rPr>
      </w:r>
    </w:p>
    <w:p>
      <w:pPr>
        <w:pStyle w:val="Heading1"/>
        <w:spacing w:before="285" w:after="285"/>
        <w:rPr/>
      </w:pPr>
      <w:r>
        <w:rPr/>
        <w:t xml:space="preserve">Introduction </w:t>
      </w:r>
    </w:p>
    <w:p>
      <w:pPr>
        <w:pStyle w:val="Normal"/>
        <w:spacing w:lineRule="auto" w:line="360" w:before="285" w:after="285"/>
        <w:jc w:val="both"/>
        <w:rPr/>
      </w:pPr>
      <w:r>
        <w:rPr>
          <w:rFonts w:ascii="FreeSans" w:hAnsi="FreeSans"/>
          <w:color w:val="000000" w:themeColor="text1"/>
        </w:rPr>
        <w:t xml:space="preserve">The development of modern trauma care and the establishment of coordinated trauma systems has led to improvements in major injury outcomes, worldwide. </w:t>
      </w:r>
      <w:r>
        <w:fldChar w:fldCharType="begin"/>
      </w:r>
      <w:r>
        <w:rPr/>
        <w:instrText>ADDIN EN.CITE &lt;EndNote&gt;&lt;Cite&gt;&lt;Author&gt;Celso&lt;/Author&gt;&lt;Year&gt;2006&lt;/Year&gt;&lt;RecNum&gt;88&lt;/RecNum&gt;&lt;DisplayText&gt;(Celso et al., 2006)&lt;/DisplayText&gt;&lt;record&gt;&lt;rec-number&gt;88&lt;/rec-number&gt;&lt;foreign-keys&gt;&lt;key app="EN" db-id="wvvxx5fxmzdasaerf95vftzd2dpttexvptxt" timestamp="0"&gt;88&lt;/key&gt;&lt;/foreign-keys&gt;&lt;ref-type name="Journal Article"&gt;17&lt;/ref-type&gt;&lt;contributors&gt;&lt;authors&gt;&lt;author&gt;Celso, Brian&lt;/author&gt;&lt;author&gt;Tepas, Joseph&lt;/author&gt;&lt;author&gt;Langland-Orban, Barbara&lt;/author&gt;&lt;author&gt;Pracht, Etienne&lt;/author&gt;&lt;author&gt;Papa, Linda&lt;/author&gt;&lt;author&gt;Lottenberg, Lawrence&lt;/author&gt;&lt;author&gt;Flint, Lewis&lt;/author&gt;&lt;/authors&gt;&lt;/contributors&gt;&lt;titles&gt;&lt;title&gt;A systematic review and meta-analysis comparing outcome of severely injured patients treated in trauma centers following the establishment of trauma systems&lt;/title&gt;&lt;secondary-title&gt;Journal of Trauma and Acute Care Surgery&lt;/secondary-title&gt;&lt;/titles&gt;&lt;periodical&gt;&lt;full-title&gt;Journal of Trauma and Acute Care Surgery&lt;/full-title&gt;&lt;/periodical&gt;&lt;pages&gt;371-378&lt;/pages&gt;&lt;volume&gt;60&lt;/volume&gt;&lt;number&gt;2&lt;/number&gt;&lt;dates&gt;&lt;year&gt;2006&lt;/year&gt;&lt;/dates&gt;&lt;isbn&gt;2163-0755&lt;/isbn&gt;&lt;urls&gt;&lt;/urls&gt;&lt;/record&gt;&lt;/Cite&gt;&lt;/EndNote&gt;</w:instrText>
      </w:r>
      <w:r>
        <w:rPr/>
        <w:fldChar w:fldCharType="separate"/>
      </w:r>
      <w:bookmarkStart w:id="0" w:name="__Fieldmark__2889_3765729933"/>
      <w:r>
        <w:rPr/>
      </w:r>
      <w:r>
        <w:rPr>
          <w:rFonts w:ascii="FreeSans" w:hAnsi="FreeSans"/>
          <w:color w:val="000000" w:themeColor="text1"/>
        </w:rPr>
        <w:t>(</w:t>
      </w:r>
      <w:bookmarkStart w:id="1" w:name="__Fieldmark__16699_1677319845"/>
      <w:r>
        <w:rPr>
          <w:rFonts w:ascii="FreeSans" w:hAnsi="FreeSans"/>
          <w:color w:val="000000" w:themeColor="text1"/>
        </w:rPr>
        <w:t>C</w:t>
      </w:r>
      <w:bookmarkStart w:id="2" w:name="__Fieldmark__378_2353388183"/>
      <w:r>
        <w:rPr>
          <w:rFonts w:ascii="FreeSans" w:hAnsi="FreeSans"/>
          <w:color w:val="000000" w:themeColor="text1"/>
        </w:rPr>
        <w:t>elso et al., 2006)</w:t>
      </w:r>
      <w:r>
        <w:rPr/>
      </w:r>
      <w:r>
        <w:rPr/>
        <w:fldChar w:fldCharType="end"/>
      </w:r>
      <w:bookmarkEnd w:id="0"/>
      <w:bookmarkEnd w:id="1"/>
      <w:bookmarkEnd w:id="2"/>
      <w:r>
        <w:rPr>
          <w:rFonts w:ascii="FreeSans" w:hAnsi="FreeSans"/>
          <w:color w:val="000000" w:themeColor="text1"/>
        </w:rPr>
        <w:t xml:space="preserve"> Despite these gains, traumatic physical injuries in Australia remain a major cause of death and disability and represent one of the five disease groups causing the most burden of ill health in society. </w:t>
      </w:r>
      <w:r>
        <w:fldChar w:fldCharType="begin"/>
      </w:r>
      <w:r>
        <w:rPr/>
        <w:instrText>ADDIN EN.CITE &lt;EndNote&gt;&lt;Cite&gt;&lt;Author&gt;AIHW(b)&lt;/Author&gt;&lt;Year&gt;2016&lt;/Year&gt;&lt;RecNum&gt;2009&lt;/RecNum&gt;&lt;DisplayText&gt;(AIHW(b), 2016)&lt;/DisplayText&gt;&lt;record&gt;&lt;rec-number&gt;2009&lt;/rec-number&gt;&lt;foreign-keys&gt;&lt;key app="EN" db-id="wvvxx5fxmzdasaerf95vftzd2dpttexvptxt" timestamp="0"&gt;2009&lt;/key&gt;&lt;/foreign-keys&gt;&lt;ref-type name="Report"&gt;27&lt;/ref-type&gt;&lt;contributors&gt;&lt;authors&gt;&lt;author&gt;AIHW(b)&lt;/author&gt;&lt;/authors&gt;&lt;secondary-authors&gt;&lt;author&gt;Australias Health Series&lt;/author&gt;&lt;/secondary-authors&gt;&lt;/contributors&gt;&lt;titles&gt;&lt;title&gt;Australia&amp;apos;s Health 2016&lt;/title&gt;&lt;/titles&gt;&lt;volume&gt;15&lt;/volume&gt;&lt;dates&gt;&lt;year&gt;2016&lt;/year&gt;&lt;/dates&gt;&lt;pub-location&gt;Canberra&lt;/pub-location&gt;&lt;publisher&gt;AIHW&lt;/publisher&gt;&lt;urls&gt;&lt;/urls&gt;&lt;/record&gt;&lt;/Cite&gt;&lt;/EndNote&gt;</w:instrText>
      </w:r>
      <w:r>
        <w:rPr/>
        <w:fldChar w:fldCharType="separate"/>
      </w:r>
      <w:bookmarkStart w:id="3" w:name="__Fieldmark__2900_3765729933"/>
      <w:r>
        <w:rPr/>
      </w:r>
      <w:r>
        <w:rPr>
          <w:rFonts w:ascii="FreeSans" w:hAnsi="FreeSans"/>
          <w:color w:val="000000" w:themeColor="text1"/>
        </w:rPr>
        <w:t>(</w:t>
      </w:r>
      <w:bookmarkStart w:id="4" w:name="__Fieldmark__16706_1677319845"/>
      <w:r>
        <w:rPr>
          <w:rFonts w:ascii="FreeSans" w:hAnsi="FreeSans"/>
          <w:color w:val="000000" w:themeColor="text1"/>
        </w:rPr>
        <w:t>A</w:t>
      </w:r>
      <w:bookmarkStart w:id="5" w:name="__Fieldmark__390_2353388183"/>
      <w:r>
        <w:rPr>
          <w:rFonts w:ascii="FreeSans" w:hAnsi="FreeSans"/>
          <w:color w:val="000000" w:themeColor="text1"/>
        </w:rPr>
        <w:t>IHW(b), 2016)</w:t>
      </w:r>
      <w:r>
        <w:rPr/>
      </w:r>
      <w:r>
        <w:rPr/>
        <w:fldChar w:fldCharType="end"/>
      </w:r>
      <w:bookmarkEnd w:id="3"/>
      <w:bookmarkEnd w:id="4"/>
      <w:bookmarkEnd w:id="5"/>
      <w:r>
        <w:rPr>
          <w:rFonts w:ascii="FreeSans" w:hAnsi="FreeSans"/>
          <w:color w:val="000000" w:themeColor="text1"/>
        </w:rPr>
        <w:t xml:space="preserve"> </w:t>
      </w:r>
    </w:p>
    <w:p>
      <w:pPr>
        <w:pStyle w:val="Normal"/>
        <w:spacing w:lineRule="auto" w:line="360" w:before="285" w:after="285"/>
        <w:jc w:val="both"/>
        <w:rPr/>
      </w:pPr>
      <w:r>
        <w:rPr>
          <w:rFonts w:ascii="FreeSans" w:hAnsi="FreeSans"/>
          <w:color w:val="000000" w:themeColor="text1"/>
        </w:rPr>
        <w:t>Inequalities exist in trauma populations where, in Australia, there is an over-representation of people from socioeconomically disadvantaged backgrounds. Low levels of income, education, blue collar work and unemployment are strong indicators of an individual disadvantage and associated with increased injury mortality,</w:t>
      </w:r>
      <w:r>
        <w:rPr>
          <w:rFonts w:ascii="FreeSans" w:hAnsi="FreeSans"/>
        </w:rPr>
        <w:t xml:space="preserve"> </w:t>
      </w:r>
      <w:r>
        <w:fldChar w:fldCharType="begin"/>
      </w:r>
      <w:r>
        <w:rPr/>
        <w:instrText>ADDIN EN.CITE</w:instrText>
      </w:r>
      <w:r>
        <w:rPr/>
        <w:fldChar w:fldCharType="separate"/>
      </w:r>
      <w:bookmarkStart w:id="6" w:name="__Fieldmark__2914_3765729933"/>
      <w:r>
        <w:rPr/>
      </w:r>
      <w:r>
        <w:rPr/>
      </w:r>
      <w:r>
        <w:rPr/>
        <w:fldChar w:fldCharType="end"/>
      </w:r>
      <w:r>
        <w:fldChar w:fldCharType="begin"/>
      </w:r>
      <w:r>
        <w:rPr/>
        <w:instrText>ADDIN EN.CITE.DATA</w:instrText>
      </w:r>
      <w:r>
        <w:rPr/>
        <w:fldChar w:fldCharType="separate"/>
      </w:r>
      <w:bookmarkStart w:id="7" w:name="__Fieldmark__16716_1677319845"/>
      <w:bookmarkStart w:id="8" w:name="__Fieldmark__2917_3765729933"/>
      <w:bookmarkEnd w:id="6"/>
      <w:r>
        <w:rPr/>
      </w:r>
      <w:r>
        <w:rPr>
          <w:rFonts w:ascii="FreeSans" w:hAnsi="FreeSans"/>
        </w:rPr>
        <w:t>(</w:t>
      </w:r>
      <w:bookmarkStart w:id="9" w:name="__Fieldmark__16719_1677319845"/>
      <w:bookmarkStart w:id="10" w:name="__Fieldmark__416_2353388183"/>
      <w:r>
        <w:rPr>
          <w:rFonts w:ascii="FreeSans" w:hAnsi="FreeSans"/>
        </w:rPr>
        <w:t>A</w:t>
      </w:r>
      <w:bookmarkStart w:id="11" w:name="__Fieldmark__415_2353388183"/>
      <w:r>
        <w:rPr>
          <w:rFonts w:ascii="FreeSans" w:hAnsi="FreeSans"/>
        </w:rPr>
        <w:t>li et al., 2013, Chen et al., 2010, Cubbin et al., 2000b)</w:t>
      </w:r>
      <w:r>
        <w:rPr/>
      </w:r>
      <w:r>
        <w:rPr/>
        <w:fldChar w:fldCharType="end"/>
      </w:r>
      <w:bookmarkEnd w:id="7"/>
      <w:bookmarkEnd w:id="8"/>
      <w:bookmarkEnd w:id="9"/>
      <w:bookmarkEnd w:id="10"/>
      <w:bookmarkEnd w:id="11"/>
      <w:r>
        <w:rPr>
          <w:rFonts w:ascii="FreeSans" w:hAnsi="FreeSans"/>
        </w:rPr>
        <w:t xml:space="preserve"> </w:t>
      </w:r>
      <w:r>
        <w:rPr>
          <w:rFonts w:ascii="FreeSans" w:hAnsi="FreeSans"/>
          <w:color w:val="000000" w:themeColor="text1"/>
        </w:rPr>
        <w:t xml:space="preserve">however these indicators appear to have varying impacts on injury patterns. American data show that being unemployed is independently related to increased risk of death from suicide, where race and ethnicity, income or education is not.  Being in a blue-collar occupation is a significant risk factor for non-fatal injury and injury severity, over and above factors such as educational attainment or income. </w:t>
      </w:r>
      <w:r>
        <w:fldChar w:fldCharType="begin"/>
      </w:r>
      <w:r>
        <w:rPr/>
        <w:instrText>ADDIN EN.CITE</w:instrText>
      </w:r>
      <w:r>
        <w:rPr/>
        <w:fldChar w:fldCharType="separate"/>
      </w:r>
      <w:bookmarkStart w:id="12" w:name="__Fieldmark__2932_3765729933"/>
      <w:r>
        <w:rPr/>
      </w:r>
      <w:r>
        <w:rPr/>
      </w:r>
      <w:r>
        <w:rPr/>
        <w:fldChar w:fldCharType="end"/>
      </w:r>
      <w:r>
        <w:fldChar w:fldCharType="begin"/>
      </w:r>
      <w:r>
        <w:rPr/>
        <w:instrText>ADDIN EN.CITE.DATA</w:instrText>
      </w:r>
      <w:r>
        <w:rPr/>
        <w:fldChar w:fldCharType="separate"/>
      </w:r>
      <w:bookmarkStart w:id="13" w:name="__Fieldmark__16728_1677319845"/>
      <w:bookmarkStart w:id="14" w:name="__Fieldmark__2935_3765729933"/>
      <w:bookmarkEnd w:id="12"/>
      <w:r>
        <w:rPr/>
      </w:r>
      <w:r>
        <w:rPr>
          <w:rFonts w:ascii="FreeSans" w:hAnsi="FreeSans"/>
          <w:color w:val="000000" w:themeColor="text1"/>
        </w:rPr>
        <w:t>(</w:t>
      </w:r>
      <w:bookmarkStart w:id="15" w:name="__Fieldmark__16731_1677319845"/>
      <w:bookmarkStart w:id="16" w:name="__Fieldmark__440_2353388183"/>
      <w:r>
        <w:rPr>
          <w:rFonts w:ascii="FreeSans" w:hAnsi="FreeSans"/>
          <w:color w:val="000000" w:themeColor="text1"/>
        </w:rPr>
        <w:t>C</w:t>
      </w:r>
      <w:bookmarkStart w:id="17" w:name="__Fieldmark__439_2353388183"/>
      <w:r>
        <w:rPr>
          <w:rFonts w:ascii="FreeSans" w:hAnsi="FreeSans"/>
          <w:color w:val="000000" w:themeColor="text1"/>
        </w:rPr>
        <w:t>ubbin et al., 2000b)</w:t>
      </w:r>
      <w:r>
        <w:rPr/>
      </w:r>
      <w:r>
        <w:rPr/>
        <w:fldChar w:fldCharType="end"/>
      </w:r>
      <w:bookmarkEnd w:id="13"/>
      <w:bookmarkEnd w:id="14"/>
      <w:bookmarkEnd w:id="15"/>
      <w:bookmarkEnd w:id="16"/>
      <w:bookmarkEnd w:id="17"/>
    </w:p>
    <w:p>
      <w:pPr>
        <w:pStyle w:val="Normal"/>
        <w:spacing w:lineRule="auto" w:line="360" w:before="240" w:after="0"/>
        <w:jc w:val="both"/>
        <w:rPr/>
      </w:pPr>
      <w:r>
        <w:rPr>
          <w:rFonts w:ascii="FreeSans" w:hAnsi="FreeSans"/>
          <w:color w:val="000000" w:themeColor="text1"/>
        </w:rPr>
        <w:t xml:space="preserve">Disadvantage is also associated with higher rates of risky behaviours, speeding, and alcohol and drug intake. </w:t>
      </w:r>
      <w:r>
        <w:fldChar w:fldCharType="begin"/>
      </w:r>
      <w:r>
        <w:rPr/>
        <w:instrText>ADDIN EN.CITE</w:instrText>
      </w:r>
      <w:r>
        <w:rPr/>
        <w:fldChar w:fldCharType="separate"/>
      </w:r>
      <w:bookmarkStart w:id="18" w:name="__Fieldmark__2950_3765729933"/>
      <w:r>
        <w:rPr/>
      </w:r>
      <w:r>
        <w:rPr/>
      </w:r>
      <w:r>
        <w:rPr/>
        <w:fldChar w:fldCharType="end"/>
      </w:r>
      <w:r>
        <w:fldChar w:fldCharType="begin"/>
      </w:r>
      <w:r>
        <w:rPr/>
        <w:instrText>ADDIN EN.CITE.DATA</w:instrText>
      </w:r>
      <w:r>
        <w:rPr/>
        <w:fldChar w:fldCharType="separate"/>
      </w:r>
      <w:bookmarkStart w:id="19" w:name="__Fieldmark__16740_1677319845"/>
      <w:bookmarkStart w:id="20" w:name="__Fieldmark__2953_3765729933"/>
      <w:bookmarkEnd w:id="18"/>
      <w:r>
        <w:rPr/>
      </w:r>
      <w:r>
        <w:rPr>
          <w:rFonts w:ascii="FreeSans" w:hAnsi="FreeSans"/>
        </w:rPr>
        <w:t>(</w:t>
      </w:r>
      <w:bookmarkStart w:id="21" w:name="__Fieldmark__16743_1677319845"/>
      <w:bookmarkStart w:id="22" w:name="__Fieldmark__459_2353388183"/>
      <w:r>
        <w:rPr>
          <w:rFonts w:ascii="FreeSans" w:hAnsi="FreeSans"/>
        </w:rPr>
        <w:t>K</w:t>
      </w:r>
      <w:bookmarkStart w:id="23" w:name="__Fieldmark__458_2353388183"/>
      <w:r>
        <w:rPr>
          <w:rFonts w:ascii="FreeSans" w:hAnsi="FreeSans"/>
        </w:rPr>
        <w:t>weon and Kockelman, 2003)</w:t>
      </w:r>
      <w:r>
        <w:rPr/>
      </w:r>
      <w:r>
        <w:rPr/>
        <w:fldChar w:fldCharType="end"/>
      </w:r>
      <w:bookmarkEnd w:id="19"/>
      <w:bookmarkEnd w:id="20"/>
      <w:bookmarkEnd w:id="21"/>
      <w:bookmarkEnd w:id="22"/>
      <w:bookmarkEnd w:id="23"/>
      <w:r>
        <w:rPr>
          <w:rFonts w:ascii="FreeSans" w:hAnsi="FreeSans"/>
          <w:color w:val="000000" w:themeColor="text1"/>
        </w:rPr>
        <w:t xml:space="preserve"> Greater levels of comorbidity </w:t>
      </w:r>
      <w:r>
        <w:rPr>
          <w:rFonts w:eastAsia="" w:ascii="FreeSans" w:hAnsi="FreeSans" w:eastAsiaTheme="minorEastAsia"/>
          <w:color w:val="000000" w:themeColor="text1"/>
          <w:lang w:val="en-US" w:eastAsia="en-US"/>
        </w:rPr>
        <w:t xml:space="preserve">are reportedly associated with disadvantage </w:t>
      </w:r>
      <w:r>
        <w:fldChar w:fldCharType="begin"/>
      </w:r>
      <w:r>
        <w:rPr/>
        <w:instrText>ADDIN EN.CITE</w:instrText>
      </w:r>
      <w:r>
        <w:rPr/>
        <w:fldChar w:fldCharType="separate"/>
      </w:r>
      <w:bookmarkStart w:id="24" w:name="__Fieldmark__2968_3765729933"/>
      <w:r>
        <w:rPr/>
      </w:r>
      <w:r>
        <w:rPr/>
      </w:r>
      <w:r>
        <w:rPr/>
        <w:fldChar w:fldCharType="end"/>
      </w:r>
      <w:r>
        <w:fldChar w:fldCharType="begin"/>
      </w:r>
      <w:r>
        <w:rPr/>
        <w:instrText>ADDIN EN.CITE.DATA</w:instrText>
      </w:r>
      <w:r>
        <w:rPr/>
        <w:fldChar w:fldCharType="separate"/>
      </w:r>
      <w:bookmarkStart w:id="25" w:name="__Fieldmark__16752_1677319845"/>
      <w:bookmarkStart w:id="26" w:name="__Fieldmark__2971_3765729933"/>
      <w:bookmarkEnd w:id="24"/>
      <w:r>
        <w:rPr/>
      </w:r>
      <w:r>
        <w:rPr>
          <w:rFonts w:ascii="FreeSans" w:hAnsi="FreeSans"/>
        </w:rPr>
        <w:t>(</w:t>
      </w:r>
      <w:bookmarkStart w:id="27" w:name="__Fieldmark__472_2353388183"/>
      <w:bookmarkStart w:id="28" w:name="__Fieldmark__16755_1677319845"/>
      <w:r>
        <w:rPr>
          <w:rFonts w:ascii="FreeSans" w:hAnsi="FreeSans"/>
        </w:rPr>
        <w:t>A</w:t>
      </w:r>
      <w:bookmarkStart w:id="29" w:name="__Fieldmark__471_2353388183"/>
      <w:r>
        <w:rPr>
          <w:rFonts w:ascii="FreeSans" w:hAnsi="FreeSans"/>
        </w:rPr>
        <w:t>li et al., 2013, Brattström et al., 2015)</w:t>
      </w:r>
      <w:r>
        <w:rPr/>
      </w:r>
      <w:r>
        <w:rPr/>
        <w:fldChar w:fldCharType="end"/>
      </w:r>
      <w:bookmarkEnd w:id="25"/>
      <w:bookmarkEnd w:id="26"/>
      <w:bookmarkEnd w:id="27"/>
      <w:bookmarkEnd w:id="28"/>
      <w:bookmarkEnd w:id="29"/>
      <w:r>
        <w:rPr>
          <w:rFonts w:eastAsia="" w:ascii="FreeSans" w:hAnsi="FreeSans" w:eastAsiaTheme="minorEastAsia"/>
          <w:color w:val="000000" w:themeColor="text1"/>
          <w:lang w:val="en-US" w:eastAsia="en-US"/>
        </w:rPr>
        <w:t xml:space="preserve">, as is severity of the crash </w:t>
      </w:r>
      <w:r>
        <w:fldChar w:fldCharType="begin"/>
      </w:r>
      <w:r>
        <w:rPr/>
        <w:instrText>ADDIN EN.CITE</w:instrText>
      </w:r>
      <w:r>
        <w:rPr/>
        <w:fldChar w:fldCharType="separate"/>
      </w:r>
      <w:bookmarkStart w:id="30" w:name="__Fieldmark__2985_3765729933"/>
      <w:r>
        <w:rPr/>
      </w:r>
      <w:r>
        <w:rPr/>
      </w:r>
      <w:r>
        <w:rPr/>
        <w:fldChar w:fldCharType="end"/>
      </w:r>
      <w:r>
        <w:fldChar w:fldCharType="begin"/>
      </w:r>
      <w:r>
        <w:rPr/>
        <w:instrText>ADDIN EN.CITE.DATA</w:instrText>
      </w:r>
      <w:r>
        <w:rPr/>
        <w:fldChar w:fldCharType="separate"/>
      </w:r>
      <w:bookmarkStart w:id="31" w:name="__Fieldmark__16763_1677319845"/>
      <w:bookmarkStart w:id="32" w:name="__Fieldmark__2988_3765729933"/>
      <w:bookmarkEnd w:id="30"/>
      <w:r>
        <w:rPr/>
      </w:r>
      <w:r>
        <w:rPr>
          <w:rFonts w:ascii="FreeSans" w:hAnsi="FreeSans"/>
        </w:rPr>
        <w:t>(</w:t>
      </w:r>
      <w:bookmarkStart w:id="33" w:name="__Fieldmark__16766_1677319845"/>
      <w:bookmarkStart w:id="34" w:name="__Fieldmark__484_2353388183"/>
      <w:r>
        <w:rPr>
          <w:rFonts w:ascii="FreeSans" w:hAnsi="FreeSans"/>
        </w:rPr>
        <w:t>H</w:t>
      </w:r>
      <w:bookmarkStart w:id="35" w:name="__Fieldmark__483_2353388183"/>
      <w:r>
        <w:rPr>
          <w:rFonts w:ascii="FreeSans" w:hAnsi="FreeSans"/>
        </w:rPr>
        <w:t>asselberg et al., 2005)</w:t>
      </w:r>
      <w:r>
        <w:rPr/>
      </w:r>
      <w:r>
        <w:rPr/>
        <w:fldChar w:fldCharType="end"/>
      </w:r>
      <w:bookmarkEnd w:id="31"/>
      <w:bookmarkEnd w:id="32"/>
      <w:bookmarkEnd w:id="33"/>
      <w:bookmarkEnd w:id="34"/>
      <w:bookmarkEnd w:id="35"/>
      <w:r>
        <w:rPr>
          <w:rFonts w:eastAsia="" w:ascii="FreeSans" w:hAnsi="FreeSans" w:eastAsiaTheme="minorEastAsia"/>
          <w:color w:val="000000" w:themeColor="text1"/>
          <w:lang w:val="en-US" w:eastAsia="en-US"/>
        </w:rPr>
        <w:t xml:space="preserve"> the degree of injury severity </w:t>
      </w:r>
      <w:r>
        <w:fldChar w:fldCharType="begin"/>
      </w:r>
      <w:r>
        <w:rPr/>
        <w:instrText>ADDIN EN.CITE</w:instrText>
      </w:r>
      <w:r>
        <w:rPr/>
        <w:fldChar w:fldCharType="separate"/>
      </w:r>
      <w:bookmarkStart w:id="36" w:name="__Fieldmark__3002_3765729933"/>
      <w:r>
        <w:rPr/>
      </w:r>
      <w:r>
        <w:rPr/>
      </w:r>
      <w:r>
        <w:rPr/>
        <w:fldChar w:fldCharType="end"/>
      </w:r>
      <w:r>
        <w:fldChar w:fldCharType="begin"/>
      </w:r>
      <w:r>
        <w:rPr/>
        <w:instrText>ADDIN EN.CITE.DATA</w:instrText>
      </w:r>
      <w:r>
        <w:rPr/>
        <w:fldChar w:fldCharType="separate"/>
      </w:r>
      <w:bookmarkStart w:id="37" w:name="__Fieldmark__16774_1677319845"/>
      <w:bookmarkStart w:id="38" w:name="__Fieldmark__3005_3765729933"/>
      <w:bookmarkEnd w:id="36"/>
      <w:r>
        <w:rPr/>
      </w:r>
      <w:r>
        <w:rPr>
          <w:rFonts w:ascii="FreeSans" w:hAnsi="FreeSans"/>
        </w:rPr>
        <w:t>(</w:t>
      </w:r>
      <w:bookmarkStart w:id="39" w:name="__Fieldmark__16777_1677319845"/>
      <w:bookmarkStart w:id="40" w:name="__Fieldmark__494_2353388183"/>
      <w:r>
        <w:rPr>
          <w:rFonts w:ascii="FreeSans" w:hAnsi="FreeSans"/>
        </w:rPr>
        <w:t>A</w:t>
      </w:r>
      <w:bookmarkStart w:id="41" w:name="__Fieldmark__493_2353388183"/>
      <w:r>
        <w:rPr>
          <w:rFonts w:ascii="FreeSans" w:hAnsi="FreeSans"/>
        </w:rPr>
        <w:t>li et al., 2013, Hasselberg et al., 2005)</w:t>
      </w:r>
      <w:r>
        <w:rPr/>
      </w:r>
      <w:r>
        <w:rPr/>
        <w:fldChar w:fldCharType="end"/>
      </w:r>
      <w:bookmarkEnd w:id="37"/>
      <w:bookmarkEnd w:id="38"/>
      <w:bookmarkEnd w:id="39"/>
      <w:bookmarkEnd w:id="40"/>
      <w:bookmarkEnd w:id="41"/>
      <w:r>
        <w:rPr>
          <w:rFonts w:eastAsia="" w:ascii="FreeSans" w:hAnsi="FreeSans" w:eastAsiaTheme="minorEastAsia"/>
          <w:color w:val="000000" w:themeColor="text1"/>
          <w:lang w:val="en-US" w:eastAsia="en-US"/>
        </w:rPr>
        <w:t xml:space="preserve"> </w:t>
      </w:r>
      <w:r>
        <w:rPr>
          <w:rFonts w:ascii="FreeSans" w:hAnsi="FreeSans"/>
          <w:color w:val="000000" w:themeColor="text1"/>
        </w:rPr>
        <w:t xml:space="preserve">and the crash mechanism, where traffic related accidents prevail over others. </w:t>
      </w:r>
      <w:r>
        <w:fldChar w:fldCharType="begin"/>
      </w:r>
      <w:r>
        <w:rPr/>
        <w:instrText>ADDIN EN.CITE &lt;EndNote&gt;&lt;Cite&gt;&lt;Author&gt;Pointer&lt;/Author&gt;&lt;Year&gt;2015&lt;/Year&gt;&lt;RecNum&gt;2011&lt;/RecNum&gt;&lt;DisplayText&gt;(Pointer, 2015)&lt;/DisplayText&gt;&lt;record&gt;&lt;rec-number&gt;2011&lt;/rec-number&gt;&lt;foreign-keys&gt;&lt;key app="EN" db-id="wvvxx5fxmzdasaerf95vftzd2dpttexvptxt" timestamp="0"&gt;2011&lt;/key&gt;&lt;/foreign-keys&gt;&lt;ref-type name="Report"&gt;27&lt;/ref-type&gt;&lt;contributors&gt;&lt;authors&gt;&lt;author&gt;Pointer, S&lt;/author&gt;&lt;/authors&gt;&lt;tertiary-authors&gt;&lt;author&gt;AIHW&lt;/author&gt;&lt;/tertiary-authors&gt;&lt;/contributors&gt;&lt;titles&gt;&lt;title&gt;Trends in hospitalised injury, Australia 1999-00 to 2012-13&lt;/title&gt;&lt;secondary-title&gt;Injury Research and Statistics&lt;/secondary-title&gt;&lt;/titles&gt;&lt;number&gt;INJCAT 171&lt;/number&gt;&lt;num-vols&gt;95&lt;/num-vols&gt;&lt;dates&gt;&lt;year&gt;2015&lt;/year&gt;&lt;/dates&gt;&lt;pub-location&gt;Canberra&lt;/pub-location&gt;&lt;urls&gt;&lt;/urls&gt;&lt;/record&gt;&lt;/Cite&gt;&lt;/EndNote&gt;</w:instrText>
      </w:r>
      <w:r>
        <w:rPr/>
        <w:fldChar w:fldCharType="separate"/>
      </w:r>
      <w:bookmarkStart w:id="42" w:name="__Fieldmark__3020_3765729933"/>
      <w:r>
        <w:rPr/>
      </w:r>
      <w:r>
        <w:rPr>
          <w:rFonts w:ascii="FreeSans" w:hAnsi="FreeSans"/>
          <w:color w:val="000000" w:themeColor="text1"/>
        </w:rPr>
        <w:t>(</w:t>
      </w:r>
      <w:bookmarkStart w:id="43" w:name="__Fieldmark__16786_1677319845"/>
      <w:r>
        <w:rPr>
          <w:rFonts w:ascii="FreeSans" w:hAnsi="FreeSans"/>
          <w:color w:val="000000" w:themeColor="text1"/>
        </w:rPr>
        <w:t>P</w:t>
      </w:r>
      <w:bookmarkStart w:id="44" w:name="__Fieldmark__506_2353388183"/>
      <w:r>
        <w:rPr>
          <w:rFonts w:ascii="FreeSans" w:hAnsi="FreeSans"/>
          <w:color w:val="000000" w:themeColor="text1"/>
        </w:rPr>
        <w:t>ointer, 2015)</w:t>
      </w:r>
      <w:r>
        <w:rPr/>
      </w:r>
      <w:r>
        <w:rPr/>
        <w:fldChar w:fldCharType="end"/>
      </w:r>
      <w:bookmarkEnd w:id="42"/>
      <w:bookmarkEnd w:id="43"/>
      <w:bookmarkEnd w:id="44"/>
      <w:r>
        <w:rPr>
          <w:rFonts w:ascii="FreeSans" w:hAnsi="FreeSans"/>
          <w:color w:val="000000" w:themeColor="text1"/>
        </w:rPr>
        <w:t xml:space="preserve"> As such this information is collected by Trauma Registries to monitor trauma care, assist with injury prevention and control and identify areas for clinical and epidemiological research. </w:t>
      </w:r>
    </w:p>
    <w:p>
      <w:pPr>
        <w:pStyle w:val="Normal"/>
        <w:spacing w:lineRule="auto" w:line="360" w:before="240" w:after="0"/>
        <w:jc w:val="both"/>
        <w:rPr/>
      </w:pPr>
      <w:r>
        <w:rPr>
          <w:rFonts w:ascii="FreeSans" w:hAnsi="FreeSans"/>
          <w:color w:val="000000" w:themeColor="text1"/>
        </w:rPr>
        <w:t>However, an individual’s SES is influenced by a myriad of social and environmental factors, all interacting with their individual level factors to shape behaviours.</w:t>
      </w:r>
      <w:r>
        <w:rPr>
          <w:rFonts w:ascii="FreeSans" w:hAnsi="FreeSans"/>
        </w:rPr>
        <w:t xml:space="preserve"> </w:t>
      </w:r>
      <w:r>
        <w:fldChar w:fldCharType="begin"/>
      </w:r>
      <w:r>
        <w:rPr/>
        <w:instrText>ADDIN EN.CITE</w:instrText>
      </w:r>
      <w:r>
        <w:rPr/>
        <w:fldChar w:fldCharType="separate"/>
      </w:r>
      <w:bookmarkStart w:id="45" w:name="__Fieldmark__3034_3765729933"/>
      <w:r>
        <w:rPr/>
      </w:r>
      <w:r>
        <w:rPr/>
      </w:r>
      <w:r>
        <w:rPr/>
        <w:fldChar w:fldCharType="end"/>
      </w:r>
      <w:r>
        <w:fldChar w:fldCharType="begin"/>
      </w:r>
      <w:r>
        <w:rPr/>
        <w:instrText>ADDIN EN.CITE.DATA</w:instrText>
      </w:r>
      <w:r>
        <w:rPr/>
        <w:fldChar w:fldCharType="separate"/>
      </w:r>
      <w:bookmarkStart w:id="46" w:name="__Fieldmark__16796_1677319845"/>
      <w:bookmarkStart w:id="47" w:name="__Fieldmark__3037_3765729933"/>
      <w:bookmarkEnd w:id="45"/>
      <w:r>
        <w:rPr/>
      </w:r>
      <w:r>
        <w:rPr>
          <w:rFonts w:ascii="FreeSans" w:hAnsi="FreeSans"/>
        </w:rPr>
        <w:t>(</w:t>
      </w:r>
      <w:bookmarkStart w:id="48" w:name="__Fieldmark__537_2353388183"/>
      <w:bookmarkStart w:id="49" w:name="__Fieldmark__16799_1677319845"/>
      <w:r>
        <w:rPr>
          <w:rFonts w:ascii="FreeSans" w:hAnsi="FreeSans"/>
        </w:rPr>
        <w:t>D</w:t>
      </w:r>
      <w:bookmarkStart w:id="50" w:name="__Fieldmark__536_2353388183"/>
      <w:r>
        <w:rPr>
          <w:rFonts w:ascii="FreeSans" w:hAnsi="FreeSans"/>
        </w:rPr>
        <w:t>uncan et al., 1996, Marmot, 2005, Richard et al., 2011, Richard et al., 1996)</w:t>
      </w:r>
      <w:r>
        <w:rPr/>
      </w:r>
      <w:r>
        <w:rPr/>
        <w:fldChar w:fldCharType="end"/>
      </w:r>
      <w:bookmarkEnd w:id="46"/>
      <w:bookmarkEnd w:id="47"/>
      <w:bookmarkEnd w:id="48"/>
      <w:bookmarkEnd w:id="49"/>
      <w:bookmarkEnd w:id="50"/>
      <w:r>
        <w:rPr>
          <w:rFonts w:ascii="FreeSans" w:hAnsi="FreeSans"/>
          <w:color w:val="000000" w:themeColor="text1"/>
        </w:rPr>
        <w:t xml:space="preserve"> </w:t>
      </w:r>
      <w:r>
        <w:rPr>
          <w:rFonts w:ascii="FreeSans" w:hAnsi="FreeSans"/>
        </w:rPr>
        <w:t xml:space="preserve">These social determinants of health have been described by Marmot and are fundamentally important to the theory and practice of public health, </w:t>
      </w:r>
      <w:r>
        <w:fldChar w:fldCharType="begin"/>
      </w:r>
      <w:r>
        <w:rPr/>
        <w:instrText>ADDIN EN.CITE</w:instrText>
      </w:r>
      <w:r>
        <w:rPr/>
        <w:fldChar w:fldCharType="separate"/>
      </w:r>
      <w:bookmarkStart w:id="51" w:name="__Fieldmark__3052_3765729933"/>
      <w:r>
        <w:rPr/>
      </w:r>
      <w:r>
        <w:rPr/>
      </w:r>
      <w:r>
        <w:rPr/>
        <w:fldChar w:fldCharType="end"/>
      </w:r>
      <w:r>
        <w:fldChar w:fldCharType="begin"/>
      </w:r>
      <w:r>
        <w:rPr/>
        <w:instrText>ADDIN EN.CITE.DATA</w:instrText>
      </w:r>
      <w:r>
        <w:rPr/>
        <w:fldChar w:fldCharType="separate"/>
      </w:r>
      <w:bookmarkStart w:id="52" w:name="__Fieldmark__16808_1677319845"/>
      <w:bookmarkStart w:id="53" w:name="__Fieldmark__3055_3765729933"/>
      <w:bookmarkEnd w:id="51"/>
      <w:r>
        <w:rPr/>
      </w:r>
      <w:r>
        <w:rPr>
          <w:rFonts w:ascii="FreeSans" w:hAnsi="FreeSans"/>
        </w:rPr>
        <w:t>(</w:t>
      </w:r>
      <w:bookmarkStart w:id="54" w:name="__Fieldmark__16811_1677319845"/>
      <w:bookmarkStart w:id="55" w:name="__Fieldmark__552_2353388183"/>
      <w:r>
        <w:rPr>
          <w:rFonts w:ascii="FreeSans" w:hAnsi="FreeSans"/>
        </w:rPr>
        <w:t>M</w:t>
      </w:r>
      <w:bookmarkStart w:id="56" w:name="__Fieldmark__551_2353388183"/>
      <w:r>
        <w:rPr>
          <w:rFonts w:ascii="FreeSans" w:hAnsi="FreeSans"/>
        </w:rPr>
        <w:t>armot, 1999, Marmot, 2005, Richard et al., 2011, Richard et al., 1996)</w:t>
      </w:r>
      <w:r>
        <w:rPr/>
      </w:r>
      <w:r>
        <w:rPr/>
        <w:fldChar w:fldCharType="end"/>
      </w:r>
      <w:bookmarkEnd w:id="52"/>
      <w:bookmarkEnd w:id="53"/>
      <w:bookmarkEnd w:id="54"/>
      <w:bookmarkEnd w:id="55"/>
      <w:bookmarkEnd w:id="56"/>
      <w:r>
        <w:rPr>
          <w:rFonts w:ascii="FreeSans" w:hAnsi="FreeSans"/>
        </w:rPr>
        <w:t xml:space="preserve"> recognising that an individual’s social and physical environment provides opportunities or the capacity for positively influencing health behaviours. At the centre of this framework are the individual, their personal and biological characteristics, behaviours, attitudes and preferences. The social context includes individuals or groups who have close relationships with the individual, such as family, friends, peers, schools, sporting, religious or community groups, health service personnel or work colleagues. The physical environment defines the natural environment and places where people live and work and include roads, transport, parks, and housing, community or health facilities. Access to services is an important part of this layer. Finally, policies from any level of Government are important in terms of creating environmental change and providing work force and urban planning, funding and taxes.</w:t>
      </w:r>
    </w:p>
    <w:p>
      <w:pPr>
        <w:pStyle w:val="Normal"/>
        <w:spacing w:lineRule="auto" w:line="360" w:before="240" w:after="0"/>
        <w:jc w:val="both"/>
        <w:rPr/>
      </w:pPr>
      <w:r>
        <w:rPr>
          <w:rFonts w:ascii="FreeSans" w:hAnsi="FreeSans"/>
        </w:rPr>
        <w:t xml:space="preserve">From the injury perspective, these </w:t>
      </w:r>
      <w:r>
        <w:rPr>
          <w:rFonts w:ascii="FreeSans" w:hAnsi="FreeSans"/>
          <w:shd w:fill="FFFFFF" w:val="clear"/>
        </w:rPr>
        <w:t>linkages between an individual and their community are key to addressing disparities in injury risk and outcomes. The neighbourhood factors important to injury</w:t>
      </w:r>
      <w:r>
        <w:rPr>
          <w:rFonts w:ascii="FreeSans" w:hAnsi="FreeSans"/>
          <w:color w:val="000000" w:themeColor="text1"/>
        </w:rPr>
        <w:t xml:space="preserve"> but not routinely collected by Trauma Registries include its material wealth, which influences the quality of housing and the built environment. </w:t>
      </w:r>
      <w:r>
        <w:fldChar w:fldCharType="begin"/>
      </w:r>
      <w:r>
        <w:rPr/>
        <w:instrText>ADDIN EN.CITE</w:instrText>
      </w:r>
      <w:r>
        <w:rPr/>
        <w:fldChar w:fldCharType="separate"/>
      </w:r>
      <w:bookmarkStart w:id="57" w:name="__Fieldmark__3073_3765729933"/>
      <w:r>
        <w:rPr/>
      </w:r>
      <w:r>
        <w:rPr/>
      </w:r>
      <w:r>
        <w:rPr/>
        <w:fldChar w:fldCharType="end"/>
      </w:r>
      <w:r>
        <w:fldChar w:fldCharType="begin"/>
      </w:r>
      <w:r>
        <w:rPr/>
        <w:instrText>ADDIN EN.CITE.DATA</w:instrText>
      </w:r>
      <w:r>
        <w:rPr/>
        <w:fldChar w:fldCharType="separate"/>
      </w:r>
      <w:bookmarkStart w:id="58" w:name="__Fieldmark__16823_1677319845"/>
      <w:bookmarkStart w:id="59" w:name="__Fieldmark__3076_3765729933"/>
      <w:bookmarkEnd w:id="57"/>
      <w:r>
        <w:rPr/>
      </w:r>
      <w:r>
        <w:rPr>
          <w:rFonts w:ascii="FreeSans" w:hAnsi="FreeSans"/>
        </w:rPr>
        <w:t>(</w:t>
      </w:r>
      <w:bookmarkStart w:id="60" w:name="__Fieldmark__16826_1677319845"/>
      <w:bookmarkStart w:id="61" w:name="__Fieldmark__624_2353388183"/>
      <w:r>
        <w:rPr>
          <w:rFonts w:ascii="FreeSans" w:hAnsi="FreeSans"/>
        </w:rPr>
        <w:t>C</w:t>
      </w:r>
      <w:bookmarkStart w:id="62" w:name="__Fieldmark__623_2353388183"/>
      <w:r>
        <w:rPr>
          <w:rFonts w:ascii="FreeSans" w:hAnsi="FreeSans"/>
        </w:rPr>
        <w:t>ubbin and Smith, 2002)</w:t>
      </w:r>
      <w:r>
        <w:rPr/>
      </w:r>
      <w:r>
        <w:rPr/>
        <w:fldChar w:fldCharType="end"/>
      </w:r>
      <w:bookmarkEnd w:id="58"/>
      <w:bookmarkEnd w:id="59"/>
      <w:bookmarkEnd w:id="60"/>
      <w:bookmarkEnd w:id="61"/>
      <w:bookmarkEnd w:id="62"/>
      <w:r>
        <w:rPr>
          <w:rFonts w:ascii="FreeSans" w:hAnsi="FreeSans"/>
        </w:rPr>
        <w:t xml:space="preserve"> Family and </w:t>
      </w:r>
      <w:r>
        <w:rPr>
          <w:rFonts w:ascii="FreeSans" w:hAnsi="FreeSans"/>
          <w:color w:val="000000" w:themeColor="text1"/>
        </w:rPr>
        <w:t xml:space="preserve">social networks, occupational exposures, and availability of services or resources that provide education or promote safety are also important. </w:t>
      </w:r>
      <w:r>
        <w:fldChar w:fldCharType="begin"/>
      </w:r>
      <w:r>
        <w:rPr/>
        <w:instrText>ADDIN EN.CITE</w:instrText>
      </w:r>
      <w:r>
        <w:rPr/>
        <w:fldChar w:fldCharType="separate"/>
      </w:r>
      <w:bookmarkStart w:id="63" w:name="__Fieldmark__3091_3765729933"/>
      <w:r>
        <w:rPr/>
      </w:r>
      <w:r>
        <w:rPr/>
      </w:r>
      <w:r>
        <w:rPr/>
        <w:fldChar w:fldCharType="end"/>
      </w:r>
      <w:r>
        <w:fldChar w:fldCharType="begin"/>
      </w:r>
      <w:r>
        <w:rPr/>
        <w:instrText>ADDIN EN.CITE.DATA</w:instrText>
      </w:r>
      <w:r>
        <w:rPr/>
        <w:fldChar w:fldCharType="separate"/>
      </w:r>
      <w:bookmarkStart w:id="64" w:name="__Fieldmark__16835_1677319845"/>
      <w:bookmarkStart w:id="65" w:name="__Fieldmark__3094_3765729933"/>
      <w:bookmarkEnd w:id="63"/>
      <w:r>
        <w:rPr/>
      </w:r>
      <w:r>
        <w:rPr>
          <w:rFonts w:ascii="FreeSans" w:hAnsi="FreeSans"/>
          <w:color w:val="000000" w:themeColor="text1"/>
        </w:rPr>
        <w:t>(</w:t>
      </w:r>
      <w:bookmarkStart w:id="66" w:name="__Fieldmark__16838_1677319845"/>
      <w:bookmarkStart w:id="67" w:name="__Fieldmark__640_2353388183"/>
      <w:r>
        <w:rPr>
          <w:rFonts w:ascii="FreeSans" w:hAnsi="FreeSans"/>
          <w:color w:val="000000" w:themeColor="text1"/>
        </w:rPr>
        <w:t>C</w:t>
      </w:r>
      <w:bookmarkStart w:id="68" w:name="__Fieldmark__639_2353388183"/>
      <w:r>
        <w:rPr>
          <w:rFonts w:ascii="FreeSans" w:hAnsi="FreeSans"/>
          <w:color w:val="000000" w:themeColor="text1"/>
        </w:rPr>
        <w:t>ubbin et al., 2000a, Cubbin and Smith, 2002)</w:t>
      </w:r>
      <w:r>
        <w:rPr/>
      </w:r>
      <w:r>
        <w:rPr/>
        <w:fldChar w:fldCharType="end"/>
      </w:r>
      <w:bookmarkEnd w:id="64"/>
      <w:bookmarkEnd w:id="65"/>
      <w:bookmarkEnd w:id="66"/>
      <w:bookmarkEnd w:id="67"/>
      <w:bookmarkEnd w:id="68"/>
      <w:r>
        <w:rPr>
          <w:rFonts w:ascii="FreeSans" w:hAnsi="FreeSans"/>
          <w:color w:val="000000" w:themeColor="text1"/>
        </w:rPr>
        <w:t xml:space="preserve"> Neighbourhood factors have been shown to be more powerful predictors of injury mortality and morbidity beyond individual factors. </w:t>
      </w:r>
      <w:r>
        <w:fldChar w:fldCharType="begin"/>
      </w:r>
      <w:r>
        <w:rPr/>
        <w:instrText>ADDIN EN.CITE</w:instrText>
      </w:r>
      <w:r>
        <w:rPr/>
        <w:fldChar w:fldCharType="separate"/>
      </w:r>
      <w:bookmarkStart w:id="69" w:name="__Fieldmark__3108_3765729933"/>
      <w:r>
        <w:rPr/>
      </w:r>
      <w:r>
        <w:rPr/>
      </w:r>
      <w:r>
        <w:rPr/>
        <w:fldChar w:fldCharType="end"/>
      </w:r>
      <w:r>
        <w:fldChar w:fldCharType="begin"/>
      </w:r>
      <w:r>
        <w:rPr/>
        <w:instrText>ADDIN EN.CITE.DATA</w:instrText>
      </w:r>
      <w:r>
        <w:rPr/>
        <w:fldChar w:fldCharType="separate"/>
      </w:r>
      <w:bookmarkStart w:id="70" w:name="__Fieldmark__16846_1677319845"/>
      <w:bookmarkStart w:id="71" w:name="__Fieldmark__3111_3765729933"/>
      <w:bookmarkEnd w:id="69"/>
      <w:r>
        <w:rPr/>
      </w:r>
      <w:r>
        <w:rPr>
          <w:rFonts w:ascii="FreeSans" w:hAnsi="FreeSans"/>
          <w:color w:val="000000" w:themeColor="text1"/>
        </w:rPr>
        <w:t>(</w:t>
      </w:r>
      <w:bookmarkStart w:id="72" w:name="__Fieldmark__16849_1677319845"/>
      <w:bookmarkStart w:id="73" w:name="__Fieldmark__649_2353388183"/>
      <w:r>
        <w:rPr>
          <w:rFonts w:ascii="FreeSans" w:hAnsi="FreeSans"/>
          <w:color w:val="000000" w:themeColor="text1"/>
        </w:rPr>
        <w:t>C</w:t>
      </w:r>
      <w:bookmarkStart w:id="74" w:name="__Fieldmark__648_2353388183"/>
      <w:r>
        <w:rPr>
          <w:rFonts w:ascii="FreeSans" w:hAnsi="FreeSans"/>
          <w:color w:val="000000" w:themeColor="text1"/>
        </w:rPr>
        <w:t>ubbin et al., 2000a)</w:t>
      </w:r>
      <w:r>
        <w:rPr/>
      </w:r>
      <w:r>
        <w:rPr/>
        <w:fldChar w:fldCharType="end"/>
      </w:r>
      <w:bookmarkEnd w:id="70"/>
      <w:bookmarkEnd w:id="71"/>
      <w:bookmarkEnd w:id="72"/>
      <w:bookmarkEnd w:id="73"/>
      <w:bookmarkEnd w:id="74"/>
      <w:r>
        <w:rPr>
          <w:rFonts w:ascii="FreeSans" w:hAnsi="FreeSans"/>
        </w:rPr>
        <w:t xml:space="preserve"> </w:t>
      </w:r>
      <w:r>
        <w:rPr>
          <w:rFonts w:ascii="FreeSans" w:hAnsi="FreeSans"/>
          <w:color w:val="000000" w:themeColor="text1"/>
        </w:rPr>
        <w:t xml:space="preserve"> Notably, many of these factors are strongly linked to various dimensions of ‘place’ representing a plausible link with studies of injury causes, given that injury has ‘external (or environmental) causes’ entwined in its definition.</w:t>
      </w:r>
    </w:p>
    <w:p>
      <w:pPr>
        <w:pStyle w:val="Normal"/>
        <w:spacing w:lineRule="auto" w:line="360" w:before="240" w:after="0"/>
        <w:jc w:val="both"/>
        <w:rPr/>
      </w:pPr>
      <w:r>
        <w:rPr>
          <w:rFonts w:ascii="FreeSans" w:hAnsi="FreeSans"/>
          <w:color w:val="000000" w:themeColor="text1"/>
        </w:rPr>
        <w:t xml:space="preserve">Rurality, or remoteness of residence is a contextual factor strongly associated with the socioeconomic dimensions of ‘place’ but is not included in traditional measures of SES. Compared to urban dwellers, rural residents have relatively poorer access to health services, higher levels of risk behaviours including occupational and physical risk, and higher rates of disease and injury. </w:t>
      </w:r>
      <w:r>
        <w:fldChar w:fldCharType="begin"/>
      </w:r>
      <w:r>
        <w:rPr/>
        <w:instrText>ADDIN EN.CITE &lt;EndNote&gt;&lt;Cite&gt;&lt;Author&gt;Phillips&lt;/Author&gt;&lt;Year&gt;2009&lt;/Year&gt;&lt;RecNum&gt;4570&lt;/RecNum&gt;&lt;DisplayText&gt;(Phillips, 2009)&lt;/DisplayText&gt;&lt;record&gt;&lt;rec-number&gt;4570&lt;/rec-number&gt;&lt;foreign-keys&gt;&lt;key app="EN" db-id="9atez299nzwaf9eaxt5xxedjf2pp90vsfet5" timestamp="0"&gt;4570&lt;/key&gt;&lt;/foreign-keys&gt;&lt;ref-type name="Journal Article"&gt;17&lt;/ref-type&gt;&lt;contributors&gt;&lt;authors&gt;&lt;author&gt;Phillips, A.&lt;/author&gt;&lt;/authors&gt;&lt;/contributors&gt;&lt;titles&gt;&lt;title&gt;Health status differentials across rural and remote Australia&lt;/title&gt;&lt;secondary-title&gt;Australian Journal of Rural Health&lt;/secondary-title&gt;&lt;/titles&gt;&lt;volume&gt;17&lt;/volume&gt;&lt;number&gt;1&lt;/number&gt;&lt;dates&gt;&lt;year&gt;2009&lt;/year&gt;&lt;/dates&gt;&lt;urls&gt;&lt;/urls&gt;&lt;/record&gt;&lt;/Cite&gt;&lt;/EndNote&gt;</w:instrText>
      </w:r>
      <w:r>
        <w:rPr/>
        <w:fldChar w:fldCharType="separate"/>
      </w:r>
      <w:bookmarkStart w:id="75" w:name="__Fieldmark__3128_3765729933"/>
      <w:r>
        <w:rPr/>
      </w:r>
      <w:r>
        <w:rPr>
          <w:rFonts w:ascii="FreeSans" w:hAnsi="FreeSans"/>
          <w:color w:val="000000" w:themeColor="text1"/>
        </w:rPr>
        <w:t>(</w:t>
      </w:r>
      <w:bookmarkStart w:id="76" w:name="__Fieldmark__16860_1677319845"/>
      <w:r>
        <w:rPr>
          <w:rFonts w:ascii="FreeSans" w:hAnsi="FreeSans"/>
          <w:color w:val="000000" w:themeColor="text1"/>
        </w:rPr>
        <w:t>P</w:t>
      </w:r>
      <w:bookmarkStart w:id="77" w:name="__Fieldmark__673_2353388183"/>
      <w:r>
        <w:rPr>
          <w:rFonts w:ascii="FreeSans" w:hAnsi="FreeSans"/>
          <w:color w:val="000000" w:themeColor="text1"/>
        </w:rPr>
        <w:t>hillips, 2009)</w:t>
      </w:r>
      <w:r>
        <w:rPr/>
      </w:r>
      <w:r>
        <w:rPr/>
        <w:fldChar w:fldCharType="end"/>
      </w:r>
      <w:bookmarkEnd w:id="75"/>
      <w:bookmarkEnd w:id="76"/>
      <w:bookmarkEnd w:id="77"/>
      <w:r>
        <w:rPr>
          <w:rFonts w:ascii="FreeSans" w:hAnsi="FreeSans"/>
          <w:color w:val="000000" w:themeColor="text1"/>
        </w:rPr>
        <w:t xml:space="preserve"> Patterns of injury are different for rural residents compared to urban residents. Compared to urban dwellers, rural residents are more likely to be involved in serious incidents involving firearms, farming, mining, natural environmental factors and road injuries and are at least twice as likely to be admitted to hospital for injury compared to urban residents </w:t>
      </w:r>
      <w:r>
        <w:fldChar w:fldCharType="begin"/>
      </w:r>
      <w:r>
        <w:rPr/>
        <w:instrText>ADDIN EN.CITE</w:instrText>
      </w:r>
      <w:r>
        <w:rPr/>
        <w:fldChar w:fldCharType="separate"/>
      </w:r>
      <w:bookmarkStart w:id="78" w:name="__Fieldmark__3139_3765729933"/>
      <w:r>
        <w:rPr/>
      </w:r>
      <w:r>
        <w:rPr/>
      </w:r>
      <w:r>
        <w:rPr/>
        <w:fldChar w:fldCharType="end"/>
      </w:r>
      <w:r>
        <w:fldChar w:fldCharType="begin"/>
      </w:r>
      <w:r>
        <w:rPr/>
        <w:instrText>ADDIN EN.CITE.DATA</w:instrText>
      </w:r>
      <w:r>
        <w:rPr/>
        <w:fldChar w:fldCharType="separate"/>
      </w:r>
      <w:bookmarkStart w:id="79" w:name="__Fieldmark__16867_1677319845"/>
      <w:bookmarkStart w:id="80" w:name="__Fieldmark__3142_3765729933"/>
      <w:bookmarkEnd w:id="78"/>
      <w:r>
        <w:rPr/>
      </w:r>
      <w:r>
        <w:rPr>
          <w:rFonts w:ascii="FreeSans" w:hAnsi="FreeSans"/>
        </w:rPr>
        <w:t>(</w:t>
      </w:r>
      <w:bookmarkStart w:id="81" w:name="__Fieldmark__16870_1677319845"/>
      <w:bookmarkStart w:id="82" w:name="__Fieldmark__695_2353388183"/>
      <w:r>
        <w:rPr>
          <w:rFonts w:ascii="FreeSans" w:hAnsi="FreeSans"/>
        </w:rPr>
        <w:t>M</w:t>
      </w:r>
      <w:bookmarkStart w:id="83" w:name="__Fieldmark__694_2353388183"/>
      <w:r>
        <w:rPr>
          <w:rFonts w:ascii="FreeSans" w:hAnsi="FreeSans"/>
        </w:rPr>
        <w:t>itchell and Chong, 2010)</w:t>
      </w:r>
      <w:r>
        <w:rPr/>
      </w:r>
      <w:r>
        <w:rPr/>
        <w:fldChar w:fldCharType="end"/>
      </w:r>
      <w:bookmarkEnd w:id="79"/>
      <w:bookmarkEnd w:id="80"/>
      <w:bookmarkEnd w:id="81"/>
      <w:bookmarkEnd w:id="82"/>
      <w:bookmarkEnd w:id="83"/>
      <w:r>
        <w:rPr>
          <w:rFonts w:ascii="FreeSans" w:hAnsi="FreeSans"/>
          <w:color w:val="000000" w:themeColor="text1"/>
        </w:rPr>
        <w:t xml:space="preserve">. Rates of traffic related injuries are more common in rural areas, compared to urban areas. </w:t>
      </w:r>
      <w:r>
        <w:fldChar w:fldCharType="begin"/>
      </w:r>
      <w:r>
        <w:rPr/>
        <w:instrText>ADDIN EN.CITE</w:instrText>
      </w:r>
      <w:r>
        <w:rPr/>
        <w:fldChar w:fldCharType="separate"/>
      </w:r>
      <w:bookmarkStart w:id="84" w:name="__Fieldmark__3156_3765729933"/>
      <w:r>
        <w:rPr/>
      </w:r>
      <w:r>
        <w:rPr/>
      </w:r>
      <w:r>
        <w:rPr/>
        <w:fldChar w:fldCharType="end"/>
      </w:r>
      <w:r>
        <w:fldChar w:fldCharType="begin"/>
      </w:r>
      <w:r>
        <w:rPr/>
        <w:instrText>ADDIN EN.CITE.DATA</w:instrText>
      </w:r>
      <w:r>
        <w:rPr/>
        <w:fldChar w:fldCharType="separate"/>
      </w:r>
      <w:bookmarkStart w:id="85" w:name="__Fieldmark__16878_1677319845"/>
      <w:bookmarkStart w:id="86" w:name="__Fieldmark__3159_3765729933"/>
      <w:bookmarkEnd w:id="84"/>
      <w:r>
        <w:rPr/>
      </w:r>
      <w:r>
        <w:rPr>
          <w:rFonts w:ascii="FreeSans" w:hAnsi="FreeSans"/>
          <w:color w:val="000000" w:themeColor="text1"/>
        </w:rPr>
        <w:t>(</w:t>
      </w:r>
      <w:bookmarkStart w:id="87" w:name="__Fieldmark__16881_1677319845"/>
      <w:bookmarkStart w:id="88" w:name="__Fieldmark__708_2353388183"/>
      <w:r>
        <w:rPr>
          <w:rFonts w:ascii="FreeSans" w:hAnsi="FreeSans"/>
          <w:color w:val="000000" w:themeColor="text1"/>
        </w:rPr>
        <w:t>D</w:t>
      </w:r>
      <w:bookmarkStart w:id="89" w:name="__Fieldmark__707_2353388183"/>
      <w:r>
        <w:rPr>
          <w:rFonts w:ascii="FreeSans" w:hAnsi="FreeSans"/>
          <w:color w:val="000000" w:themeColor="text1"/>
        </w:rPr>
        <w:t>inh et al., 2013, Kristiansen et al., 2013)</w:t>
      </w:r>
      <w:r>
        <w:rPr/>
      </w:r>
      <w:r>
        <w:rPr/>
        <w:fldChar w:fldCharType="end"/>
      </w:r>
      <w:bookmarkEnd w:id="85"/>
      <w:bookmarkEnd w:id="86"/>
      <w:bookmarkEnd w:id="87"/>
      <w:bookmarkEnd w:id="88"/>
      <w:bookmarkEnd w:id="89"/>
    </w:p>
    <w:p>
      <w:pPr>
        <w:pStyle w:val="Normal"/>
        <w:spacing w:lineRule="auto" w:line="360" w:before="240" w:after="0"/>
        <w:jc w:val="both"/>
        <w:rPr>
          <w:color w:val="000000" w:themeColor="text1"/>
        </w:rPr>
      </w:pPr>
      <w:r>
        <w:rPr>
          <w:rFonts w:ascii="FreeSans" w:hAnsi="FreeSans"/>
          <w:color w:val="000000" w:themeColor="text1"/>
        </w:rPr>
        <w:t xml:space="preserve">Measures of residential rurality or remoteness from services have not been routinely factored into studies of social and economic variations in injury patterns. This is surprising, given that the time taken to receive definitive care following severe trauma is a critical factor influencing survival. People who are injured in rural and rural areas pose specific challenges in this respect, yet the location of injury does not always reflect the location of where the person lives. This distinction has also not been adequately addressed in studies of SES or remoteness, in the injury context. </w:t>
      </w:r>
    </w:p>
    <w:p>
      <w:pPr>
        <w:pStyle w:val="Normal"/>
        <w:spacing w:lineRule="auto" w:line="360" w:before="240" w:after="0"/>
        <w:jc w:val="both"/>
        <w:rPr>
          <w:color w:val="000000" w:themeColor="text1"/>
        </w:rPr>
      </w:pPr>
      <w:r>
        <w:rPr>
          <w:rFonts w:ascii="FreeSans" w:hAnsi="FreeSans"/>
          <w:color w:val="000000" w:themeColor="text1"/>
        </w:rPr>
        <w:t xml:space="preserve">Because of the strong relationship between injury and disadvantage, many studies adjust for social disadvantage in analyses, however there is little understanding of how SES might operate as a primary explanatory factor for injury. Increasingly, people are now surviving serious injury and are discharged home to their communities. Therefore, understanding the nature of disadvantage from the communities that people come from, and return to, could ultimately assist in understanding patterns of primary risk, and the appropriate types of rehabilitation programs for injury survivors. </w:t>
      </w:r>
    </w:p>
    <w:p>
      <w:pPr>
        <w:pStyle w:val="Normal"/>
        <w:spacing w:lineRule="auto" w:line="360" w:before="240" w:after="0"/>
        <w:jc w:val="both"/>
        <w:rPr/>
      </w:pPr>
      <w:r>
        <w:rPr>
          <w:rFonts w:ascii="FreeSans" w:hAnsi="FreeSans"/>
        </w:rPr>
        <w:t xml:space="preserve">The existing evidence base of the role of socio-ecological factors on health is vast, </w:t>
      </w:r>
      <w:r>
        <w:fldChar w:fldCharType="begin"/>
      </w:r>
      <w:r>
        <w:rPr/>
        <w:instrText>ADDIN EN.CITE</w:instrText>
      </w:r>
      <w:r>
        <w:rPr/>
        <w:fldChar w:fldCharType="separate"/>
      </w:r>
      <w:bookmarkStart w:id="90" w:name="__Fieldmark__3176_3765729933"/>
      <w:r>
        <w:rPr/>
      </w:r>
      <w:r>
        <w:rPr/>
      </w:r>
      <w:r>
        <w:rPr/>
        <w:fldChar w:fldCharType="end"/>
      </w:r>
      <w:r>
        <w:fldChar w:fldCharType="begin"/>
      </w:r>
      <w:r>
        <w:rPr/>
        <w:instrText>ADDIN EN.CITE.DATA</w:instrText>
      </w:r>
      <w:r>
        <w:rPr/>
        <w:fldChar w:fldCharType="separate"/>
      </w:r>
      <w:bookmarkStart w:id="91" w:name="__Fieldmark__16892_1677319845"/>
      <w:bookmarkStart w:id="92" w:name="__Fieldmark__3179_3765729933"/>
      <w:bookmarkEnd w:id="90"/>
      <w:r>
        <w:rPr/>
      </w:r>
      <w:r>
        <w:rPr>
          <w:rFonts w:ascii="FreeSans" w:hAnsi="FreeSans"/>
        </w:rPr>
        <w:t>(</w:t>
      </w:r>
      <w:bookmarkStart w:id="93" w:name="__Fieldmark__733_2353388183"/>
      <w:bookmarkStart w:id="94" w:name="__Fieldmark__16895_1677319845"/>
      <w:r>
        <w:rPr>
          <w:rFonts w:ascii="FreeSans" w:hAnsi="FreeSans"/>
        </w:rPr>
        <w:t>S</w:t>
      </w:r>
      <w:bookmarkStart w:id="95" w:name="__Fieldmark__732_2353388183"/>
      <w:r>
        <w:rPr>
          <w:rFonts w:ascii="FreeSans" w:hAnsi="FreeSans"/>
        </w:rPr>
        <w:t>tewart et al., 2004, Sun and Stewart, 2007, Sun and Stewart, 2008)</w:t>
      </w:r>
      <w:r>
        <w:rPr/>
      </w:r>
      <w:r>
        <w:rPr/>
        <w:fldChar w:fldCharType="end"/>
      </w:r>
      <w:bookmarkEnd w:id="91"/>
      <w:bookmarkEnd w:id="92"/>
      <w:bookmarkEnd w:id="93"/>
      <w:bookmarkEnd w:id="94"/>
      <w:bookmarkEnd w:id="95"/>
      <w:r>
        <w:rPr>
          <w:rFonts w:ascii="FreeSans" w:hAnsi="FreeSans"/>
        </w:rPr>
        <w:t xml:space="preserve"> yet is littered with subjective assessments from individuals and prone to information biases.  There is a comparative lack of objective, empirical evidence as to whether, or which factors are effective in changing health behaviours or outcomes in injured patients. </w:t>
      </w:r>
      <w:r>
        <w:fldChar w:fldCharType="begin"/>
      </w:r>
      <w:r>
        <w:rPr/>
        <w:instrText>ADDIN EN.CITE &lt;EndNote&gt;&lt;Cite&gt;&lt;Author&gt;Glanz&lt;/Author&gt;&lt;Year&gt;2008&lt;/Year&gt;&lt;RecNum&gt;2546&lt;/RecNum&gt;&lt;DisplayText&gt;(Glanz et al., 2008)&lt;/DisplayText&gt;&lt;record&gt;&lt;rec-number&gt;2546&lt;/rec-number&gt;&lt;foreign-keys&gt;&lt;key app="EN" db-id="wvvxx5fxmzdasaerf95vftzd2dpttexvptxt" timestamp="1492328204"&gt;2546&lt;/key&gt;&lt;/foreign-keys&gt;&lt;ref-type name="Book"&gt;6&lt;/ref-type&gt;&lt;contributors&gt;&lt;authors&gt;&lt;author&gt;Glanz, Karen&lt;/author&gt;&lt;author&gt;Rimer, Barbara K&lt;/author&gt;&lt;author&gt;Viswanath, Kasisomayajula&lt;/author&gt;&lt;/authors&gt;&lt;/contributors&gt;&lt;titles&gt;&lt;title&gt;Health behavior and health education: theory, research, and practice&lt;/title&gt;&lt;/titles&gt;&lt;dates&gt;&lt;year&gt;2008&lt;/year&gt;&lt;/dates&gt;&lt;publisher&gt;John Wiley &amp;amp; Sons&lt;/publisher&gt;&lt;isbn&gt;0470432489&lt;/isbn&gt;&lt;urls&gt;&lt;/urls&gt;&lt;/record&gt;&lt;/Cite&gt;&lt;/EndNote&gt;</w:instrText>
      </w:r>
      <w:r>
        <w:rPr/>
        <w:fldChar w:fldCharType="separate"/>
      </w:r>
      <w:bookmarkStart w:id="96" w:name="__Fieldmark__3193_3765729933"/>
      <w:r>
        <w:rPr/>
      </w:r>
      <w:r>
        <w:rPr>
          <w:rFonts w:ascii="FreeSans" w:hAnsi="FreeSans"/>
        </w:rPr>
        <w:t>(</w:t>
      </w:r>
      <w:bookmarkStart w:id="97" w:name="__Fieldmark__16903_1677319845"/>
      <w:r>
        <w:rPr>
          <w:rFonts w:ascii="FreeSans" w:hAnsi="FreeSans"/>
        </w:rPr>
        <w:t>G</w:t>
      </w:r>
      <w:bookmarkStart w:id="98" w:name="__Fieldmark__747_2353388183"/>
      <w:r>
        <w:rPr>
          <w:rFonts w:ascii="FreeSans" w:hAnsi="FreeSans"/>
        </w:rPr>
        <w:t>lanz et al., 2008)</w:t>
      </w:r>
      <w:r>
        <w:rPr/>
      </w:r>
      <w:r>
        <w:rPr/>
        <w:fldChar w:fldCharType="end"/>
      </w:r>
      <w:bookmarkEnd w:id="96"/>
      <w:bookmarkEnd w:id="97"/>
      <w:bookmarkEnd w:id="98"/>
      <w:r>
        <w:rPr>
          <w:rFonts w:ascii="FreeSans" w:hAnsi="FreeSans"/>
        </w:rPr>
        <w:t xml:space="preserve"> </w:t>
      </w:r>
    </w:p>
    <w:p>
      <w:pPr>
        <w:pStyle w:val="Normal"/>
        <w:spacing w:lineRule="auto" w:line="360" w:before="582" w:after="342"/>
        <w:jc w:val="both"/>
        <w:rPr>
          <w:color w:val="000000" w:themeColor="text1"/>
        </w:rPr>
      </w:pPr>
      <w:r>
        <w:rPr>
          <w:rFonts w:ascii="FreeSans" w:hAnsi="FreeSans"/>
          <w:color w:val="000000" w:themeColor="text1"/>
        </w:rPr>
        <w:t xml:space="preserve">The aim of this study was to report the association between objective neighbourhood measures of socioeconomic disadvantage and geographical remoteness with patterns of injury, for severely injured trauma patients admitted to a Level 1 Tertiary Trauma Centre between 2014 and 2017.  </w:t>
      </w:r>
    </w:p>
    <w:p>
      <w:pPr>
        <w:pStyle w:val="Heading1"/>
        <w:spacing w:lineRule="auto" w:line="360" w:before="0" w:after="0"/>
        <w:jc w:val="both"/>
        <w:rPr>
          <w:rFonts w:ascii="FreeSans" w:hAnsi="FreeSans"/>
        </w:rPr>
      </w:pPr>
      <w:r>
        <w:rPr/>
        <w:t>Methods</w:t>
      </w:r>
    </w:p>
    <w:p>
      <w:pPr>
        <w:pStyle w:val="Heading1"/>
        <w:spacing w:lineRule="auto" w:line="360" w:before="0" w:after="0"/>
        <w:jc w:val="both"/>
        <w:rPr>
          <w:rFonts w:ascii="FreeSans" w:hAnsi="FreeSans"/>
        </w:rPr>
      </w:pPr>
      <w:r>
        <w:rPr>
          <w:rFonts w:eastAsia="" w:cs="" w:cstheme="majorBidi" w:eastAsiaTheme="majorEastAsia"/>
          <w:b/>
          <w:color w:val="000000" w:themeShade="bf"/>
          <w:kern w:val="0"/>
          <w:sz w:val="32"/>
          <w:szCs w:val="32"/>
          <w:lang w:val="en-GB" w:eastAsia="zh-CN" w:bidi="ar-SA"/>
        </w:rPr>
        <w:t>Study setting</w:t>
      </w:r>
    </w:p>
    <w:p>
      <w:pPr>
        <w:pStyle w:val="Normal"/>
        <w:widowControl/>
        <w:bidi w:val="0"/>
        <w:spacing w:lineRule="auto" w:line="360" w:before="171" w:after="171"/>
        <w:jc w:val="both"/>
        <w:rPr/>
      </w:pPr>
      <w:r>
        <w:rPr>
          <w:rFonts w:ascii="FreeSans" w:hAnsi="FreeSans"/>
          <w:kern w:val="0"/>
          <w:lang w:eastAsia="zh-CN" w:bidi="ar-SA"/>
        </w:rPr>
        <w:t>The study population was severely injured patients admitted to a Level 1 Tertiary</w:t>
      </w:r>
      <w:r>
        <w:rPr>
          <w:rFonts w:ascii="FreeSans" w:hAnsi="FreeSans"/>
          <w:color w:val="000000" w:themeColor="text1"/>
          <w:spacing w:val="2"/>
          <w:shd w:fill="FCFCFC" w:val="clear"/>
        </w:rPr>
        <w:t xml:space="preserve"> referral centre in Queensland (Qld). This hospital provides care for severely injured patients across two State borders, including the wider population injured in the designated catchment area of the region (68%) where the Trauma Centre is located, and patients injured in mostly regional areas of northern New South Wales (NSW). </w:t>
      </w:r>
      <w:r>
        <w:rPr>
          <w:rFonts w:eastAsia="MS Mincho" w:ascii="FreeSans" w:hAnsi="FreeSans"/>
          <w:color w:val="000000" w:themeColor="text1"/>
        </w:rPr>
        <w:t>The remainder come largely from inner regional areas of the catchment area in both States, dominated by patients referred from hospitals in northern NSW (71%).</w:t>
      </w:r>
      <w:r>
        <w:rPr>
          <w:rFonts w:ascii="FreeSans" w:hAnsi="FreeSans"/>
        </w:rPr>
        <w:t xml:space="preserve"> </w:t>
      </w:r>
      <w:r>
        <w:fldChar w:fldCharType="begin"/>
      </w:r>
      <w:r>
        <w:rPr/>
        <w:instrText>ADDIN EN.CITE &lt;EndNote&gt;&lt;Cite&gt;&lt;Author&gt;Gardiner&lt;/Author&gt;&lt;Year&gt;2018&lt;/Year&gt;&lt;RecNum&gt;4557&lt;/RecNum&gt;&lt;DisplayText&gt;(Gardiner et al., 2018)&lt;/DisplayText&gt;&lt;record&gt;&lt;rec-number&gt;4557&lt;/rec-number&gt;&lt;foreign-keys&gt;&lt;key app="EN" db-id="wvvxx5fxmzdasaerf95vftzd2dpttexvptxt" timestamp="1539904084"&gt;4557&lt;/key&gt;&lt;/foreign-keys&gt;&lt;ref-type name="Report"&gt;27&lt;/ref-type&gt;&lt;contributors&gt;&lt;authors&gt;&lt;author&gt;Gardiner, B&lt;/author&gt;&lt;author&gt;Dale, K&lt;/author&gt;&lt;author&gt;Wake, E&lt;/author&gt;&lt;author&gt;Scott, M&lt;/author&gt;&lt;author&gt;Campbell D&lt;/author&gt;&lt;author&gt;Wullscherger, M&lt;/author&gt;&lt;/authors&gt;&lt;/contributors&gt;&lt;titles&gt;&lt;title&gt;GoldGold Coast Trauma Service 2014-2017 Report, State of Queensland.  Coast Trauma Service 2014-2017 Report, State of Queensland. &lt;/title&gt;&lt;/titles&gt;&lt;dates&gt;&lt;year&gt;2018&lt;/year&gt;&lt;/dates&gt;&lt;pub-location&gt;Southport Queensland&lt;/pub-location&gt;&lt;publisher&gt;Queensland Health&lt;/publisher&gt;&lt;urls&gt;&lt;/urls&gt;&lt;/record&gt;&lt;/Cite&gt;&lt;/EndNote&gt;</w:instrText>
      </w:r>
      <w:r>
        <w:rPr/>
        <w:fldChar w:fldCharType="separate"/>
      </w:r>
      <w:bookmarkStart w:id="99" w:name="__Fieldmark__3212_3765729933"/>
      <w:r>
        <w:rPr/>
      </w:r>
      <w:r>
        <w:rPr>
          <w:rFonts w:eastAsia="MS Mincho" w:ascii="FreeSans" w:hAnsi="FreeSans"/>
          <w:color w:val="000000" w:themeColor="text1"/>
        </w:rPr>
        <w:t>(</w:t>
      </w:r>
      <w:bookmarkStart w:id="100" w:name="__Fieldmark__16918_1677319845"/>
      <w:r>
        <w:rPr>
          <w:rFonts w:eastAsia="MS Mincho" w:ascii="FreeSans" w:hAnsi="FreeSans"/>
          <w:color w:val="000000" w:themeColor="text1"/>
        </w:rPr>
        <w:t>G</w:t>
      </w:r>
      <w:bookmarkStart w:id="101" w:name="__Fieldmark__801_2353388183"/>
      <w:r>
        <w:rPr>
          <w:rFonts w:eastAsia="MS Mincho" w:ascii="FreeSans" w:hAnsi="FreeSans"/>
          <w:color w:val="000000" w:themeColor="text1"/>
        </w:rPr>
        <w:t>ardiner et al., 2018)</w:t>
      </w:r>
      <w:r>
        <w:rPr/>
      </w:r>
      <w:r>
        <w:rPr/>
        <w:fldChar w:fldCharType="end"/>
      </w:r>
      <w:bookmarkEnd w:id="99"/>
      <w:bookmarkEnd w:id="100"/>
      <w:bookmarkEnd w:id="101"/>
      <w:r>
        <w:rPr>
          <w:rFonts w:eastAsia="MS Mincho" w:ascii="FreeSans" w:hAnsi="FreeSans"/>
          <w:color w:val="000000" w:themeColor="text1"/>
        </w:rPr>
        <w:t xml:space="preserve"> </w:t>
      </w:r>
      <w:r>
        <w:rPr>
          <w:rFonts w:ascii="FreeSans" w:hAnsi="FreeSans"/>
          <w:color w:val="000000" w:themeColor="text1"/>
        </w:rPr>
        <w:t xml:space="preserve">Both States have advanced trauma services, with well-developed rural and regional referral networks. </w:t>
      </w:r>
    </w:p>
    <w:p>
      <w:pPr>
        <w:pStyle w:val="Normal"/>
        <w:widowControl/>
        <w:bidi w:val="0"/>
        <w:spacing w:lineRule="auto" w:line="360" w:before="114" w:after="114"/>
        <w:jc w:val="both"/>
        <w:rPr/>
      </w:pPr>
      <w:r>
        <w:rPr>
          <w:rFonts w:eastAsia="" w:cs="" w:ascii="FreeSans" w:hAnsi="FreeSans" w:cstheme="majorBidi" w:eastAsiaTheme="majorEastAsia"/>
          <w:b/>
          <w:color w:val="000000" w:themeShade="bf"/>
          <w:kern w:val="0"/>
          <w:sz w:val="32"/>
          <w:szCs w:val="32"/>
          <w:lang w:val="en-GB" w:eastAsia="zh-CN" w:bidi="ar-SA"/>
        </w:rPr>
        <w:t>Study design and data sources</w:t>
      </w:r>
    </w:p>
    <w:p>
      <w:pPr>
        <w:pStyle w:val="Normal"/>
        <w:spacing w:lineRule="auto" w:line="360" w:before="0" w:after="0"/>
        <w:jc w:val="both"/>
        <w:rPr>
          <w:color w:val="000000" w:themeColor="text1"/>
        </w:rPr>
      </w:pPr>
      <w:r>
        <w:rPr>
          <w:rFonts w:ascii="FreeSans" w:hAnsi="FreeSans"/>
          <w:color w:val="000000" w:themeColor="text1"/>
        </w:rPr>
        <w:t xml:space="preserve">The study design is a retrospective analysis of adult injury cases hospitalised for &gt;24 hours, in a Level 1 Trauma Centre in Australia, where the date of injury occurred any time after January 01 2014 to December 31, 2017.  Eligible patients were aged over 18 years, admitted to the hospital for severe (ISS &gt; 12) traumatic physical injury resulting from external causes. </w:t>
      </w:r>
    </w:p>
    <w:p>
      <w:pPr>
        <w:sectPr>
          <w:footerReference w:type="default" r:id="rId2"/>
          <w:type w:val="nextPage"/>
          <w:pgSz w:w="11906" w:h="16838"/>
          <w:pgMar w:left="1440" w:right="1440" w:header="0" w:top="1440" w:footer="708" w:bottom="1440" w:gutter="0"/>
          <w:pgNumType w:fmt="decimal"/>
          <w:formProt w:val="false"/>
          <w:textDirection w:val="lrTb"/>
          <w:docGrid w:type="default" w:linePitch="360" w:charSpace="0"/>
        </w:sectPr>
        <w:pStyle w:val="Normal"/>
        <w:spacing w:lineRule="auto" w:line="360" w:before="240" w:after="0"/>
        <w:jc w:val="both"/>
        <w:rPr/>
      </w:pPr>
      <w:r>
        <w:rPr>
          <w:rFonts w:ascii="FreeSans" w:hAnsi="FreeSans"/>
          <w:color w:val="000000" w:themeColor="text1"/>
        </w:rPr>
        <w:t xml:space="preserve">Patient data were sourced from the Hospital’s Trauma Registry which represents all patients presenting to hospital satisfying the standard criteria for a major trauma event, defined by the injury mechanism, the pattern of injury and various clinical features. The Registry focuses on collecting information that enables analysis of the quality of patient care, improvements in patient care, and reduction in mortality and morbidity from traumatic injury. The Trauma Registry has well-defined data integrity processes that ensure data reliability and validity. </w:t>
      </w:r>
      <w:r>
        <w:fldChar w:fldCharType="begin"/>
      </w:r>
      <w:r>
        <w:rPr/>
        <w:instrText>ADDIN EN.CITE &lt;EndNote&gt;&lt;Cite&gt;&lt;Author&gt;Gardiner&lt;/Author&gt;&lt;Year&gt;2018&lt;/Year&gt;&lt;RecNum&gt;4557&lt;/RecNum&gt;&lt;DisplayText&gt;(Gardiner et al., 2018)&lt;/DisplayText&gt;&lt;record&gt;&lt;rec-number&gt;4557&lt;/rec-number&gt;&lt;foreign-keys&gt;&lt;key app="EN" db-id="wvvxx5fxmzdasaerf95vftzd2dpttexvptxt" timestamp="1539904084"&gt;4557&lt;/key&gt;&lt;/foreign-keys&gt;&lt;ref-type name="Report"&gt;27&lt;/ref-type&gt;&lt;contributors&gt;&lt;authors&gt;&lt;author&gt;Gardiner, B&lt;/author&gt;&lt;author&gt;Dale, K&lt;/author&gt;&lt;author&gt;Wake, E&lt;/author&gt;&lt;author&gt;Scott, M&lt;/author&gt;&lt;author&gt;Campbell D&lt;/author&gt;&lt;author&gt;Wullscherger, M&lt;/author&gt;&lt;/authors&gt;&lt;/contributors&gt;&lt;titles&gt;&lt;title&gt;GoldGold Coast Trauma Service 2014-2017 Report, State of Queensland.  Coast Trauma Service 2014-2017 Report, State of Queensland. &lt;/title&gt;&lt;/titles&gt;&lt;dates&gt;&lt;year&gt;2018&lt;/year&gt;&lt;/dates&gt;&lt;pub-location&gt;Southport Queensland&lt;/pub-location&gt;&lt;publisher&gt;Queensland Health&lt;/publisher&gt;&lt;urls&gt;&lt;/urls&gt;&lt;/record&gt;&lt;/Cite&gt;&lt;/EndNote&gt;</w:instrText>
      </w:r>
      <w:r>
        <w:rPr/>
        <w:fldChar w:fldCharType="separate"/>
      </w:r>
      <w:bookmarkStart w:id="102" w:name="__Fieldmark__3234_3765729933"/>
      <w:r>
        <w:rPr/>
      </w:r>
      <w:r>
        <w:rPr>
          <w:rFonts w:eastAsia="MS Mincho" w:ascii="FreeSans" w:hAnsi="FreeSans"/>
          <w:color w:val="000000" w:themeColor="text1"/>
        </w:rPr>
        <w:t>(Gardiner et al., 2018)</w:t>
      </w:r>
      <w:bookmarkStart w:id="103" w:name="__Fieldmark__815_2353388183"/>
      <w:bookmarkStart w:id="104" w:name="__Fieldmark__16930_1677319845"/>
      <w:bookmarkEnd w:id="103"/>
      <w:bookmarkEnd w:id="104"/>
      <w:r>
        <w:rPr/>
      </w:r>
      <w:r>
        <w:rPr/>
        <w:fldChar w:fldCharType="end"/>
      </w:r>
      <w:bookmarkEnd w:id="102"/>
    </w:p>
    <w:p>
      <w:pPr>
        <w:pStyle w:val="Heading2"/>
        <w:keepNext w:val="true"/>
        <w:keepLines/>
        <w:pageBreakBefore w:val="false"/>
        <w:widowControl/>
        <w:numPr>
          <w:ilvl w:val="0"/>
          <w:numId w:val="0"/>
        </w:numPr>
        <w:bidi w:val="0"/>
        <w:spacing w:lineRule="auto" w:line="360"/>
        <w:jc w:val="left"/>
        <w:outlineLvl w:val="1"/>
        <w:rPr>
          <w:rFonts w:ascii="FreeSans" w:hAnsi="FreeSans" w:eastAsia="" w:cs="" w:cstheme="majorBidi" w:eastAsiaTheme="majorEastAsia"/>
          <w:b/>
          <w:b/>
          <w:color w:val="000000" w:themeShade="bf"/>
          <w:kern w:val="0"/>
          <w:sz w:val="32"/>
          <w:szCs w:val="32"/>
          <w:lang w:val="en-GB" w:eastAsia="zh-CN" w:bidi="ar-SA"/>
        </w:rPr>
      </w:pPr>
      <w:r>
        <w:rPr>
          <w:rFonts w:eastAsia="" w:cs="" w:cstheme="majorBidi" w:eastAsiaTheme="majorEastAsia"/>
          <w:b/>
          <w:color w:val="000000" w:themeShade="bf"/>
          <w:kern w:val="0"/>
          <w:sz w:val="32"/>
          <w:szCs w:val="32"/>
          <w:lang w:val="en-GB" w:eastAsia="zh-CN" w:bidi="ar-SA"/>
        </w:rPr>
        <w:t>Area level variables</w:t>
      </w:r>
    </w:p>
    <w:p>
      <w:pPr>
        <w:pStyle w:val="Normal"/>
        <w:spacing w:lineRule="auto" w:line="360" w:before="0" w:after="0"/>
        <w:jc w:val="both"/>
        <w:rPr>
          <w:rFonts w:ascii="FreeSans" w:hAnsi="FreeSans"/>
        </w:rPr>
      </w:pPr>
      <w:r>
        <w:rPr>
          <w:rFonts w:ascii="FreeSans" w:hAnsi="FreeSans"/>
          <w:color w:val="000000" w:themeColor="text1"/>
        </w:rPr>
        <w:t xml:space="preserve">Information about the patients’ residential address at the time of injury obtained from the 2011 Census of Population and Housing was used to generate area-level measures described below. </w:t>
      </w:r>
    </w:p>
    <w:p>
      <w:pPr>
        <w:pStyle w:val="Heading3"/>
        <w:keepNext w:val="true"/>
        <w:widowControl/>
        <w:numPr>
          <w:ilvl w:val="0"/>
          <w:numId w:val="0"/>
        </w:numPr>
        <w:bidi w:val="0"/>
        <w:spacing w:lineRule="auto" w:line="360"/>
        <w:jc w:val="both"/>
        <w:outlineLvl w:val="2"/>
        <w:rPr>
          <w:rFonts w:ascii="FreeSans" w:hAnsi="FreeSans" w:eastAsia="Times New Roman" w:cs="" w:cstheme="minorBidi"/>
          <w:b/>
          <w:b/>
          <w:bCs/>
          <w:color w:val="auto"/>
          <w:kern w:val="0"/>
          <w:sz w:val="24"/>
          <w:szCs w:val="26"/>
          <w:lang w:val="en-GB" w:eastAsia="zh-CN" w:bidi="ar-SA"/>
        </w:rPr>
      </w:pPr>
      <w:r>
        <w:rPr>
          <w:rFonts w:eastAsia="Times New Roman" w:cs="" w:cstheme="minorBidi"/>
          <w:b/>
          <w:bCs/>
          <w:color w:val="auto"/>
          <w:kern w:val="0"/>
          <w:sz w:val="24"/>
          <w:szCs w:val="26"/>
          <w:lang w:val="en-GB" w:eastAsia="zh-CN" w:bidi="ar-SA"/>
        </w:rPr>
        <w:t>Socioeconomic status</w:t>
      </w:r>
    </w:p>
    <w:p>
      <w:pPr>
        <w:sectPr>
          <w:footerReference w:type="default" r:id="rId3"/>
          <w:type w:val="nextPage"/>
          <w:pgSz w:w="11906" w:h="16838"/>
          <w:pgMar w:left="1440" w:right="1440" w:header="0" w:top="1440" w:footer="708" w:bottom="1440" w:gutter="0"/>
          <w:pgNumType w:fmt="decimal"/>
          <w:formProt w:val="false"/>
          <w:textDirection w:val="lrTb"/>
          <w:docGrid w:type="default" w:linePitch="360" w:charSpace="0"/>
        </w:sectPr>
        <w:pStyle w:val="Normal"/>
        <w:spacing w:lineRule="auto" w:line="360" w:before="0" w:after="0"/>
        <w:jc w:val="both"/>
        <w:rPr/>
      </w:pPr>
      <w:r>
        <w:rPr>
          <w:rFonts w:ascii="FreeSans" w:hAnsi="FreeSans"/>
          <w:color w:val="000000" w:themeColor="text1"/>
        </w:rPr>
        <w:t>Many individual characteristics associated with disadvantage and trauma outcomes, such as gender, injury severity, comorbidity, substance abuse, and occupation. Trauma Registry staff typically collect this information for the purposes of injury surveillance and control. However, information on SES contextual factors is not routinely collected. Linkage of Census Tract data to Trauma Registries can enable the study of the multi-dimensional construct of socioeconomic disadvantage at the ‘neighbourhood’ level. In Australia, socio-demographic information is summarised into an Index or Relative Social Disadvantage (IRSD)</w:t>
      </w:r>
      <w:r>
        <w:rPr>
          <w:rFonts w:ascii="FreeSans" w:hAnsi="FreeSans"/>
        </w:rPr>
        <w:t xml:space="preserve"> </w:t>
      </w:r>
      <w:r>
        <w:fldChar w:fldCharType="begin"/>
      </w:r>
      <w:r>
        <w:rPr/>
        <w:instrText>ADDIN EN.CITE</w:instrText>
      </w:r>
      <w:r>
        <w:rPr/>
        <w:fldChar w:fldCharType="separate"/>
      </w:r>
      <w:bookmarkStart w:id="105" w:name="__Fieldmark__3258_3765729933"/>
      <w:r>
        <w:rPr/>
      </w:r>
      <w:r>
        <w:rPr/>
      </w:r>
      <w:r>
        <w:rPr/>
        <w:fldChar w:fldCharType="end"/>
      </w:r>
      <w:r>
        <w:fldChar w:fldCharType="begin"/>
      </w:r>
      <w:r>
        <w:rPr/>
        <w:instrText>ADDIN EN.CITE.DATA</w:instrText>
      </w:r>
      <w:r>
        <w:rPr/>
        <w:fldChar w:fldCharType="separate"/>
      </w:r>
      <w:bookmarkStart w:id="106" w:name="__Fieldmark__3261_3765729933"/>
      <w:bookmarkEnd w:id="105"/>
      <w:r>
        <w:rPr/>
      </w:r>
      <w:bookmarkStart w:id="107" w:name="__Fieldmark__16942_1677319845"/>
      <w:bookmarkEnd w:id="107"/>
      <w:r>
        <w:rPr>
          <w:rFonts w:ascii="FreeSans" w:hAnsi="FreeSans"/>
        </w:rPr>
        <w:t>(Australian Bureau of, 2011, Australian Bureau of, 2012)</w:t>
      </w:r>
      <w:bookmarkStart w:id="108" w:name="__Fieldmark__843_2353388183"/>
      <w:bookmarkStart w:id="109" w:name="__Fieldmark__16945_1677319845"/>
      <w:bookmarkStart w:id="110" w:name="__Fieldmark__844_2353388183"/>
      <w:bookmarkEnd w:id="108"/>
      <w:bookmarkEnd w:id="109"/>
      <w:bookmarkEnd w:id="110"/>
      <w:r>
        <w:rPr/>
      </w:r>
      <w:r>
        <w:rPr/>
        <w:fldChar w:fldCharType="end"/>
      </w:r>
      <w:bookmarkEnd w:id="106"/>
      <w:r>
        <w:rPr>
          <w:rFonts w:ascii="FreeSans" w:hAnsi="FreeSans"/>
          <w:color w:val="000000" w:themeColor="text1"/>
        </w:rPr>
        <w:t xml:space="preserve"> as shown in Table 1. The IRSD is often analysed as an area-level explanatory factor or exposure for individual level outcomes and has explained health differentials and influenced health policies </w:t>
      </w:r>
      <w:r>
        <w:fldChar w:fldCharType="begin"/>
      </w:r>
      <w:r>
        <w:rPr/>
        <w:instrText>ADDIN EN.CITE &lt;EndNote&gt;&lt;Cite&gt;&lt;Author&gt;Glover&lt;/Author&gt;&lt;Year&gt;2004&lt;/Year&gt;&lt;RecNum&gt;4572&lt;/RecNum&gt;&lt;DisplayText&gt;(Glover et al., 2004)&lt;/DisplayText&gt;&lt;record&gt;&lt;rec-number&gt;4572&lt;/rec-number&gt;&lt;foreign-keys&gt;&lt;key app="EN" db-id="9atez299nzwaf9eaxt5xxedjf2pp90vsfet5" timestamp="0"&gt;4572&lt;/key&gt;&lt;/foreign-keys&gt;&lt;ref-type name="Journal Article"&gt;17&lt;/ref-type&gt;&lt;contributors&gt;&lt;authors&gt;&lt;author&gt;Glover, John D.&lt;/author&gt;&lt;author&gt;Hetzel, Diana M. S.&lt;/author&gt;&lt;author&gt;Tennant, Sarah K.&lt;/author&gt;&lt;/authors&gt;&lt;/contributors&gt;&lt;titles&gt;&lt;title&gt;The socioeconomic gradient and chronic illness and associated risk factors in Australia&lt;/title&gt;&lt;secondary-title&gt;Australia and New Zealand Health Policy&lt;/secondary-title&gt;&lt;/titles&gt;&lt;pages&gt;8-8&lt;/pages&gt;&lt;volume&gt;1&lt;/volume&gt;&lt;number&gt;1&lt;/number&gt;&lt;dates&gt;&lt;year&gt;2004&lt;/year&gt;&lt;/dates&gt;&lt;pub-location&gt;England&lt;/pub-location&gt;&lt;publisher&gt;BioMed Central&lt;/publisher&gt;&lt;isbn&gt;1743-8462&lt;/isbn&gt;&lt;urls&gt;&lt;related-urls&gt;&lt;url&gt;http://griffith.summon.serialssolutions.com/2.0.0/link/0/eLvHCXMwtV1Lb9QwELZK4YBUVby7FJAvcFltSWLHj0MlUAFxQUiwFUfjJDastCyoTSXEr2fGdpLNLogixCWKnIeSzJfxzJeZL4Sw4iibbfiEUjrPbCGqRjes9sIpocE9V8LmonLej5mMnY-_IwH-j-FhDEyPjbR_Yfz-pDAA6wABWAIIYHlpGKABvrrUgTz9dBaqvGJleR21caeL5TL4vCDdmizmUuF590uedWakL9vpS0BDCU5kmgd-tf0RiwBeAAjt9M3RQLTOwcHbqHkQSOlEt3b8w8A8jlnoNR-KqqcQ1kQn67bHtr12-IjU7wNZrRqmp-6T_Mas9Sd9bKkxHIT8EPVm5BMUUv_SLOr22K1mp--vkKsQ-2WYrb87edtN3SjVk8cO2nglnSirEk9HV_crVabPG5IJy7WY5hq2GF2kCvswEc9vkP2UctDnERw3yY5b3SJ7ka-lsQ3tNvkAQKEjoNAOKBRAQRNQaAJKGBuAQhEoNAGFLla0B8odcvrq5fzk9Sz9dGNmWc4kalLmzOVWe-srZ0UDMR6HV7ZwNWQKImsabp2WquYZc9KJQkMQ7lGiyRe2qiS7S_YsNmes2tDE2RwQqkqLomNalHXGqxqCSg9Rc-mY4r5WrJmQZ9uP03yLcivmUgaeED16-KOjx1vgZTZoTYPWNLlRE3IvGqo_KC-F1JoXE_I4Wq7fUpjzwmSGMQmZB5MQ3Zn2ewtn2NiPc8Ux8rv_77d2SK7HcjHk_R6Q3fbswj0c2gEfBQj_BE-lu7Y&lt;/url&gt;&lt;/related-urls&gt;&lt;/urls&gt;&lt;electronic-resource-num&gt;10.1186/1743-8462-1-8&lt;/electronic-resource-num&gt;&lt;/record&gt;&lt;/Cite&gt;&lt;/EndNote&gt;</w:instrText>
      </w:r>
      <w:r>
        <w:rPr/>
        <w:fldChar w:fldCharType="separate"/>
      </w:r>
      <w:bookmarkStart w:id="111" w:name="__Fieldmark__3279_3765729933"/>
      <w:r>
        <w:rPr/>
      </w:r>
      <w:r>
        <w:rPr>
          <w:rFonts w:ascii="FreeSans" w:hAnsi="FreeSans"/>
        </w:rPr>
        <w:t>(Glover et al., 2004)</w:t>
      </w:r>
      <w:bookmarkStart w:id="112" w:name="__Fieldmark__854_2353388183"/>
      <w:bookmarkStart w:id="113" w:name="__Fieldmark__16953_1677319845"/>
      <w:bookmarkEnd w:id="112"/>
      <w:bookmarkEnd w:id="113"/>
      <w:r>
        <w:rPr/>
      </w:r>
      <w:r>
        <w:rPr/>
        <w:fldChar w:fldCharType="end"/>
      </w:r>
      <w:bookmarkEnd w:id="111"/>
      <w:r>
        <w:rPr>
          <w:rFonts w:ascii="FreeSans" w:hAnsi="FreeSans"/>
          <w:color w:val="000000" w:themeColor="text1"/>
        </w:rPr>
        <w:t xml:space="preserve"> This index </w:t>
      </w:r>
      <w:r>
        <w:rPr>
          <w:rFonts w:ascii="FreeSans" w:hAnsi="FreeSans"/>
          <w:color w:val="000000" w:themeColor="text1"/>
          <w:shd w:fill="FFFFFF" w:val="clear"/>
        </w:rPr>
        <w:t xml:space="preserve">summarises 17 different pieces of information about the economic and social conditions of people and households in an area, such as low income, low education, high unemployment and unskilled occupations. A low score indicates relatively greater rates of disadvantage in that area compared to other areas, and is characterised by many low-income families, people with little training and working in unskilled occupations A high score indicates a relative lack of disadvantage according to these characteristics. </w:t>
      </w:r>
    </w:p>
    <w:p>
      <w:pPr>
        <w:pStyle w:val="Normal"/>
        <w:jc w:val="both"/>
        <w:rPr>
          <w:rFonts w:ascii="FreeSans" w:hAnsi="FreeSans"/>
        </w:rPr>
      </w:pPr>
      <w:r>
        <w:rPr>
          <w:rFonts w:ascii="FreeSans" w:hAnsi="FreeSans"/>
          <w:b/>
          <w:color w:val="000000" w:themeColor="text1"/>
          <w:shd w:fill="FFFFFF" w:val="clear"/>
        </w:rPr>
        <w:t>Table 1: Properties of the IRSD index</w:t>
      </w:r>
    </w:p>
    <w:p>
      <w:pPr>
        <w:pStyle w:val="Normal"/>
        <w:jc w:val="both"/>
        <w:rPr>
          <w:rFonts w:ascii="FreeSans" w:hAnsi="FreeSans"/>
          <w:b/>
          <w:b/>
          <w:color w:val="000000" w:themeColor="text1"/>
          <w:highlight w:val="white"/>
        </w:rPr>
      </w:pPr>
      <w:r>
        <w:rPr>
          <w:rFonts w:ascii="FreeSans" w:hAnsi="FreeSans"/>
          <w:b/>
          <w:color w:val="000000" w:themeColor="text1"/>
          <w:highlight w:val="white"/>
        </w:rPr>
      </w:r>
    </w:p>
    <w:p>
      <w:pPr>
        <w:pStyle w:val="Normal"/>
        <w:jc w:val="both"/>
        <w:rPr>
          <w:rFonts w:ascii="FreeSans" w:hAnsi="FreeSans"/>
          <w:color w:val="000000" w:themeColor="text1"/>
          <w:highlight w:val="white"/>
        </w:rPr>
      </w:pPr>
      <w:r>
        <w:rPr>
          <w:rFonts w:ascii="FreeSans" w:hAnsi="FreeSans"/>
          <w:color w:val="000000" w:themeColor="text1"/>
          <w:highlight w:val="white"/>
        </w:rPr>
      </w:r>
    </w:p>
    <w:tbl>
      <w:tblPr>
        <w:tblStyle w:val="PlainTable21"/>
        <w:tblW w:w="8613" w:type="dxa"/>
        <w:jc w:val="left"/>
        <w:tblInd w:w="-108" w:type="dxa"/>
        <w:tblCellMar>
          <w:top w:w="0" w:type="dxa"/>
          <w:left w:w="108" w:type="dxa"/>
          <w:bottom w:w="0" w:type="dxa"/>
          <w:right w:w="108" w:type="dxa"/>
        </w:tblCellMar>
        <w:tblLook w:noVBand="1" w:val="04a0" w:noHBand="0" w:lastColumn="0" w:firstColumn="1" w:lastRow="0" w:firstRow="1"/>
      </w:tblPr>
      <w:tblGrid>
        <w:gridCol w:w="1980"/>
        <w:gridCol w:w="6632"/>
      </w:tblGrid>
      <w:tr>
        <w:trPr>
          <w:cnfStyle w:val="100000000000" w:firstRow="1" w:lastRow="0" w:firstColumn="0" w:lastColumn="0" w:oddVBand="0" w:evenVBand="0" w:oddHBand="0"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color w:val="000000" w:themeColor="text1"/>
                <w:sz w:val="20"/>
                <w:szCs w:val="20"/>
                <w:shd w:fill="FFFFFF" w:val="clear"/>
              </w:rPr>
              <w:t>Variable</w:t>
            </w:r>
          </w:p>
        </w:tc>
        <w:tc>
          <w:tcPr>
            <w:tcW w:w="6632"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color w:val="000000" w:themeColor="text1"/>
                <w:sz w:val="20"/>
                <w:szCs w:val="20"/>
                <w:shd w:fill="FFFFFF" w:val="clear"/>
              </w:rPr>
              <w:t xml:space="preserve">Description </w:t>
            </w:r>
          </w:p>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color w:val="000000" w:themeColor="text1"/>
                <w:sz w:val="20"/>
                <w:szCs w:val="20"/>
                <w:highlight w:val="white"/>
              </w:rPr>
            </w:pPr>
            <w:r>
              <w:rPr>
                <w:rFonts w:ascii="FreeSans" w:hAnsi="FreeSans"/>
                <w:b/>
                <w:bCs/>
                <w:color w:val="000000" w:themeColor="text1"/>
                <w:sz w:val="20"/>
                <w:szCs w:val="20"/>
                <w:highlight w:val="white"/>
              </w:rPr>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 xml:space="preserve">Annual household income </w:t>
            </w:r>
          </w:p>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xml:space="preserve"> </w:t>
            </w:r>
            <w:r>
              <w:rPr>
                <w:rFonts w:ascii="FreeSans" w:hAnsi="FreeSans"/>
                <w:color w:val="000000" w:themeColor="text1"/>
                <w:sz w:val="18"/>
                <w:szCs w:val="18"/>
                <w:shd w:fill="FFFFFF" w:val="clear"/>
              </w:rPr>
              <w:t>Less than $20,799</w:t>
            </w:r>
          </w:p>
        </w:tc>
      </w:tr>
      <w:tr>
        <w:trPr>
          <w:trHeight w:val="227"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Employment</w:t>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xml:space="preserve">% Families with children under 15 years of age who live with jobless parents </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Employed people classified as ‘labourers’</w:t>
            </w:r>
          </w:p>
        </w:tc>
      </w:tr>
      <w:tr>
        <w:trPr>
          <w:trHeight w:val="227"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people in the labour workforce unemployed</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Employed people classed as machinery operators or drivers</w:t>
            </w:r>
          </w:p>
        </w:tc>
      </w:tr>
      <w:tr>
        <w:trPr>
          <w:trHeight w:val="322"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People classified as Low Skill Community and Personal Service workers</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 xml:space="preserve">Internet connection </w:t>
            </w:r>
          </w:p>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Occupied private dwellings with no internet connection</w:t>
            </w:r>
          </w:p>
        </w:tc>
      </w:tr>
      <w:tr>
        <w:trPr>
          <w:trHeight w:val="227"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 xml:space="preserve">Education </w:t>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people aged 15 years or over whose highest level of education is Year 11 or lower</w:t>
            </w:r>
          </w:p>
        </w:tc>
      </w:tr>
      <w:tr>
        <w:trPr>
          <w:trHeight w:val="33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xml:space="preserve">% people aged 15 years and over who have no educational attainment </w:t>
            </w:r>
          </w:p>
        </w:tc>
      </w:tr>
      <w:tr>
        <w:trPr>
          <w:trHeight w:val="227"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 xml:space="preserve">Household factors </w:t>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Occupied private dwellings paying rent less than $166/week.</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Occupied private dwellings with no car</w:t>
            </w:r>
          </w:p>
        </w:tc>
      </w:tr>
      <w:tr>
        <w:trPr>
          <w:trHeight w:val="263"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Occupied private dwellings requiring one or more extra bedrooms</w:t>
            </w:r>
          </w:p>
        </w:tc>
      </w:tr>
      <w:tr>
        <w:trPr>
          <w:trHeight w:val="22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Family structure</w:t>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one-parent families with dependent offspring</w:t>
            </w:r>
          </w:p>
        </w:tc>
      </w:tr>
      <w:tr>
        <w:trPr>
          <w:trHeight w:val="227"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xml:space="preserve">% People aged 15 or over who are separated or divorced </w:t>
            </w:r>
          </w:p>
        </w:tc>
      </w:tr>
      <w:tr>
        <w:trPr>
          <w:trHeight w:val="387" w:hRule="atLeast"/>
          <w:cnfStyle w:val="000000100000" w:firstRow="0" w:lastRow="0" w:firstColumn="0" w:lastColumn="0" w:oddVBand="0" w:evenVBand="0" w:oddHBand="1" w:evenHBand="0" w:firstRowFirstColumn="0" w:firstRowLastColumn="0" w:lastRowFirstColumn="0" w:lastRowLastColumn="0"/>
        </w:trPr>
        <w:tc>
          <w:tcPr>
            <w:tcW w:w="1980"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highlight w:val="white"/>
              </w:rPr>
            </w:pPr>
            <w:r>
              <w:rPr>
                <w:rFonts w:ascii="FreeSans" w:hAnsi="FreeSans"/>
                <w:b/>
                <w:bCs/>
                <w:color w:val="000000" w:themeColor="text1"/>
                <w:sz w:val="18"/>
                <w:szCs w:val="18"/>
                <w:highlight w:val="white"/>
              </w:rPr>
            </w:r>
          </w:p>
        </w:tc>
        <w:tc>
          <w:tcPr>
            <w:tcW w:w="6632"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xml:space="preserve">% People who do not speak English very well. </w:t>
            </w:r>
          </w:p>
        </w:tc>
      </w:tr>
      <w:tr>
        <w:trPr>
          <w:trHeight w:val="227" w:hRule="atLeast"/>
        </w:trPr>
        <w:tc>
          <w:tcPr>
            <w:tcW w:w="1980" w:type="dxa"/>
            <w:cnfStyle w:val="001000000000" w:firstRow="0" w:lastRow="0" w:firstColumn="1" w:lastColumn="0" w:oddVBand="0" w:evenVBand="0" w:oddHBand="0" w:evenHBand="0" w:firstRowFirstColumn="0" w:firstRowLastColumn="0" w:lastRowFirstColumn="0" w:lastRowLastColumn="0"/>
            <w:tcBorders>
              <w:top w:val="nil"/>
            </w:tcBorders>
            <w:shd w:fill="auto" w:val="clear"/>
          </w:tcPr>
          <w:p>
            <w:pPr>
              <w:pStyle w:val="Normal"/>
              <w:jc w:val="both"/>
              <w:rPr>
                <w:rFonts w:ascii="FreeSans" w:hAnsi="FreeSans"/>
              </w:rPr>
            </w:pPr>
            <w:r>
              <w:rPr>
                <w:rFonts w:ascii="FreeSans" w:hAnsi="FreeSans"/>
                <w:b/>
                <w:bCs/>
                <w:color w:val="000000" w:themeColor="text1"/>
                <w:sz w:val="18"/>
                <w:szCs w:val="18"/>
                <w:shd w:fill="FFFFFF" w:val="clear"/>
              </w:rPr>
              <w:t>Health</w:t>
            </w:r>
          </w:p>
        </w:tc>
        <w:tc>
          <w:tcPr>
            <w:tcW w:w="6632" w:type="dxa"/>
            <w:tcBorders>
              <w:top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shd w:fill="FFFFFF" w:val="clear"/>
              </w:rPr>
              <w:t xml:space="preserve">% people aged &lt;70 who have a longer-term health condition or disability and need assistance </w:t>
            </w:r>
          </w:p>
        </w:tc>
      </w:tr>
    </w:tbl>
    <w:p>
      <w:pPr>
        <w:pStyle w:val="Normal"/>
        <w:spacing w:lineRule="auto" w:line="480" w:before="468" w:after="285"/>
        <w:jc w:val="center"/>
        <w:rPr>
          <w:rFonts w:ascii="FreeSans" w:hAnsi="FreeSans"/>
        </w:rPr>
      </w:pPr>
      <w:r>
        <w:rPr>
          <w:rFonts w:ascii="FreeSans" w:hAnsi="FreeSans"/>
          <w:b/>
          <w:bCs/>
          <w:i/>
          <w:color w:val="000000" w:themeColor="text1"/>
          <w:sz w:val="18"/>
          <w:szCs w:val="18"/>
          <w:shd w:fill="FFFFFF" w:val="clear"/>
        </w:rPr>
        <w:t>Source: Socio-Economic Indexes for Areas (SEIFA) 2011. Canberra. ABS Catalogue no. 2033.0.55.001.</w:t>
      </w:r>
    </w:p>
    <w:p>
      <w:pPr>
        <w:pStyle w:val="Heading3"/>
        <w:keepNext w:val="true"/>
        <w:widowControl/>
        <w:numPr>
          <w:ilvl w:val="0"/>
          <w:numId w:val="0"/>
        </w:numPr>
        <w:bidi w:val="0"/>
        <w:spacing w:lineRule="auto" w:line="480"/>
        <w:jc w:val="both"/>
        <w:outlineLvl w:val="2"/>
        <w:rPr/>
      </w:pPr>
      <w:r>
        <w:rPr>
          <w:rFonts w:eastAsia="Times New Roman" w:cs="" w:cstheme="minorBidi"/>
          <w:b/>
          <w:bCs/>
          <w:color w:val="auto"/>
          <w:kern w:val="0"/>
          <w:sz w:val="24"/>
          <w:szCs w:val="26"/>
          <w:lang w:val="en-GB" w:eastAsia="zh-CN" w:bidi="ar-SA"/>
        </w:rPr>
        <w:t xml:space="preserve">Geographical remoteness </w:t>
      </w:r>
    </w:p>
    <w:p>
      <w:pPr>
        <w:sectPr>
          <w:footerReference w:type="default" r:id="rId4"/>
          <w:type w:val="nextPage"/>
          <w:pgSz w:w="11906" w:h="16838"/>
          <w:pgMar w:left="1440" w:right="1440" w:header="0" w:top="1440" w:footer="709" w:bottom="1440" w:gutter="0"/>
          <w:pgNumType w:fmt="decimal"/>
          <w:formProt w:val="false"/>
          <w:textDirection w:val="lrTb"/>
          <w:docGrid w:type="default" w:linePitch="360" w:charSpace="0"/>
        </w:sectPr>
        <w:pStyle w:val="Normal"/>
        <w:spacing w:lineRule="auto" w:line="360" w:before="0" w:after="0"/>
        <w:jc w:val="both"/>
        <w:rPr/>
      </w:pPr>
      <w:r>
        <w:rPr>
          <w:rFonts w:ascii="FreeSans" w:hAnsi="FreeSans"/>
          <w:color w:val="000000" w:themeColor="text1"/>
        </w:rPr>
        <w:t>Geographic remoteness is a measure of the physical distance of a location from the nearest urban centre, which serves as a proxy measure of the level of access to goods and services. For this analysis, the enhanced Accessibility/Remoteness Index of Australia classification (ARIA</w:t>
      </w:r>
      <w:r>
        <w:rPr>
          <w:rFonts w:ascii="FreeSans" w:hAnsi="FreeSans"/>
          <w:color w:val="000000" w:themeColor="text1"/>
          <w:vertAlign w:val="superscript"/>
        </w:rPr>
        <w:t>+</w:t>
      </w:r>
      <w:r>
        <w:rPr>
          <w:rFonts w:ascii="FreeSans" w:hAnsi="FreeSans"/>
          <w:color w:val="000000" w:themeColor="text1"/>
        </w:rPr>
        <w:t xml:space="preserve">) was used to describe areas in terms of relative remoteness. </w:t>
      </w:r>
      <w:r>
        <w:fldChar w:fldCharType="begin"/>
      </w:r>
      <w:r>
        <w:rPr/>
        <w:instrText>ADDIN EN.CITE &lt;EndNote&gt;&lt;Cite&gt;&lt;Author&gt;Australian Bureau of Statistics. Analytical Services&lt;/Author&gt;&lt;Year&gt;2011&lt;/Year&gt;&lt;RecNum&gt;4576&lt;/RecNum&gt;&lt;DisplayText&gt;(Australian Bureau of Statistics. Analytical Services, 2011)&lt;/DisplayText&gt;&lt;record&gt;&lt;rec-number&gt;4576&lt;/rec-number&gt;&lt;foreign-keys&gt;&lt;key app="EN" db-id="9atez299nzwaf9eaxt5xxedjf2pp90vsfet5" timestamp="0"&gt;4576&lt;/key&gt;&lt;/foreign-keys&gt;&lt;ref-type name="Web Page"&gt;12&lt;/ref-type&gt;&lt;contributors&gt;&lt;authors&gt;&lt;author&gt;Australian Bureau of Statistics. Analytical Services, Branch&lt;/author&gt;&lt;/authors&gt;&lt;secondary-authors&gt;&lt;author&gt;Australian Bureau of Statistics&lt;/author&gt;&lt;/secondary-authors&gt;&lt;/contributors&gt;&lt;titles&gt;&lt;title&gt;Australian Statistical Geography Standard (ASGS): Volume 5 - Remoteness Structure, July 2011 &lt;/title&gt;&lt;/titles&gt;&lt;volume&gt;2018&lt;/volume&gt;&lt;number&gt;October&lt;/number&gt;&lt;edition&gt;1270.0.55.005&lt;/edition&gt;&lt;dates&gt;&lt;year&gt;2011&lt;/year&gt;&lt;/dates&gt;&lt;urls&gt;&lt;/urls&gt;&lt;/record&gt;&lt;/Cite&gt;&lt;/EndNote&gt;</w:instrText>
      </w:r>
      <w:r>
        <w:rPr/>
        <w:fldChar w:fldCharType="separate"/>
      </w:r>
      <w:bookmarkStart w:id="114" w:name="__Fieldmark__3400_3765729933"/>
      <w:r>
        <w:rPr/>
      </w:r>
      <w:r>
        <w:rPr>
          <w:rFonts w:ascii="FreeSans" w:hAnsi="FreeSans"/>
          <w:color w:val="000000" w:themeColor="text1"/>
        </w:rPr>
        <w:t>(Australian Bureau of Statistics. Analytical Services, 2011)</w:t>
      </w:r>
      <w:bookmarkStart w:id="115" w:name="__Fieldmark__908_2353388183"/>
      <w:bookmarkStart w:id="116" w:name="__Fieldmark__16967_1677319845"/>
      <w:bookmarkEnd w:id="115"/>
      <w:bookmarkEnd w:id="116"/>
      <w:r>
        <w:rPr/>
      </w:r>
      <w:r>
        <w:rPr/>
        <w:fldChar w:fldCharType="end"/>
      </w:r>
      <w:bookmarkEnd w:id="114"/>
      <w:r>
        <w:rPr>
          <w:rFonts w:ascii="FreeSans" w:hAnsi="FreeSans"/>
          <w:color w:val="000000" w:themeColor="text1"/>
        </w:rPr>
        <w:t xml:space="preserve"> </w:t>
      </w:r>
      <w:r>
        <w:rPr>
          <w:rFonts w:ascii="FreeSans" w:hAnsi="FreeSans"/>
          <w:color w:val="000000" w:themeColor="text1"/>
          <w:shd w:fill="FFFFFF" w:val="clear"/>
        </w:rPr>
        <w:t xml:space="preserve">These scores are used by many Government organisations in Australia, including the Australian Bureau of Statistics to publish statistics that are comparable and spatially integrated. </w:t>
      </w:r>
      <w:r>
        <w:rPr>
          <w:rFonts w:ascii="FreeSans" w:hAnsi="FreeSans"/>
          <w:color w:val="000000" w:themeColor="text1"/>
        </w:rPr>
        <w:t xml:space="preserve">The ARIA scores are categorised into five classes of remoteness: a value of ‘1’ defines Major cities of Australia, ‘2’ defines Inner Regional Australia, ‘3’ is Outer regional Australia, ‘4’ is Remote Australia and ‘5’ defines ‘Very Remote Australia. The hospital catchment area for this study sample lies mostly in Categories 1 and 2, hence there are small numbers of cases in categories 3,4 and 5 (N=26), these were combined within category 2. For this analysis, two remoteness variables were developed and assigned to each patient describing their area of residence, and where the injury was sustained. </w:t>
      </w:r>
    </w:p>
    <w:p>
      <w:pPr>
        <w:pStyle w:val="Heading2"/>
        <w:widowControl/>
        <w:bidi w:val="0"/>
        <w:jc w:val="left"/>
        <w:rPr>
          <w:rFonts w:ascii="FreeSans" w:hAnsi="FreeSans"/>
          <w:color w:val="000000"/>
          <w:kern w:val="0"/>
          <w:lang w:eastAsia="zh-CN" w:bidi="ar-SA"/>
        </w:rPr>
      </w:pPr>
      <w:r>
        <w:rPr>
          <w:color w:val="000000"/>
          <w:kern w:val="0"/>
          <w:lang w:eastAsia="zh-CN" w:bidi="ar-SA"/>
        </w:rPr>
        <w:t>Individual patient factors</w:t>
      </w:r>
    </w:p>
    <w:p>
      <w:pPr>
        <w:pStyle w:val="Normal"/>
        <w:widowControl/>
        <w:bidi w:val="0"/>
        <w:spacing w:lineRule="auto" w:line="360" w:before="228" w:after="228"/>
        <w:jc w:val="both"/>
        <w:rPr/>
      </w:pPr>
      <w:r>
        <w:rPr>
          <w:rFonts w:ascii="FreeSans" w:hAnsi="FreeSans"/>
          <w:color w:val="000000"/>
          <w:kern w:val="0"/>
          <w:lang w:eastAsia="zh-CN" w:bidi="ar-SA"/>
        </w:rPr>
        <w:t>Data from the Trauma Registry considered to be important covariates for the study’s</w:t>
      </w:r>
      <w:r>
        <w:rPr>
          <w:rFonts w:ascii="FreeSans" w:hAnsi="FreeSans"/>
          <w:color w:val="000000" w:themeColor="text1"/>
        </w:rPr>
        <w:t xml:space="preserve"> hypothesis were analysed. Age and sex are risk factors for injury, as is injury severity. Injuries were classified according to the Abbreviated Injury Scale (AIS)</w:t>
      </w:r>
      <w:r>
        <w:rPr>
          <w:rFonts w:ascii="FreeSans" w:hAnsi="FreeSans"/>
        </w:rPr>
        <w:t xml:space="preserve"> </w:t>
      </w:r>
      <w:r>
        <w:fldChar w:fldCharType="begin"/>
      </w:r>
      <w:r>
        <w:rPr/>
        <w:instrText>ADDIN EN.CITE &lt;EndNote&gt;&lt;Cite&gt;&lt;Author&gt;Gennarelli&lt;/Author&gt;&lt;Year&gt;2008&lt;/Year&gt;&lt;RecNum&gt;4558&lt;/RecNum&gt;&lt;DisplayText&gt;(Gennarelli and Wodzin, 2008)&lt;/DisplayText&gt;&lt;record&gt;&lt;rec-number&gt;4558&lt;/rec-number&gt;&lt;foreign-keys&gt;&lt;key app="EN" db-id="wvvxx5fxmzdasaerf95vftzd2dpttexvptxt" timestamp="1539862897"&gt;4558&lt;/key&gt;&lt;/foreign-keys&gt;&lt;ref-type name="Book"&gt;6&lt;/ref-type&gt;&lt;contributors&gt;&lt;authors&gt;&lt;author&gt;Gennarelli, Thomas A&lt;/author&gt;&lt;author&gt;Wodzin, Elaine&lt;/author&gt;&lt;/authors&gt;&lt;/contributors&gt;&lt;titles&gt;&lt;title&gt;Abbreviated injury scale 2005: update 2008&lt;/title&gt;&lt;/titles&gt;&lt;dates&gt;&lt;year&gt;2008&lt;/year&gt;&lt;/dates&gt;&lt;publisher&gt;Russ Reeder&lt;/publisher&gt;&lt;isbn&gt;000000202X&lt;/isbn&gt;&lt;urls&gt;&lt;/urls&gt;&lt;/record&gt;&lt;/Cite&gt;&lt;/EndNote&gt;</w:instrText>
      </w:r>
      <w:r>
        <w:rPr/>
        <w:fldChar w:fldCharType="separate"/>
      </w:r>
      <w:bookmarkStart w:id="117" w:name="__Fieldmark__3420_3765729933"/>
      <w:r>
        <w:rPr/>
      </w:r>
      <w:r>
        <w:rPr>
          <w:rFonts w:ascii="FreeSans" w:hAnsi="FreeSans"/>
        </w:rPr>
        <w:t>(</w:t>
      </w:r>
      <w:bookmarkStart w:id="118" w:name="__Fieldmark__16980_1677319845"/>
      <w:r>
        <w:rPr>
          <w:rFonts w:ascii="FreeSans" w:hAnsi="FreeSans"/>
        </w:rPr>
        <w:t>G</w:t>
      </w:r>
      <w:bookmarkStart w:id="119" w:name="__Fieldmark__944_2353388183"/>
      <w:r>
        <w:rPr>
          <w:rFonts w:ascii="FreeSans" w:hAnsi="FreeSans"/>
        </w:rPr>
        <w:t>ennarelli and Wodzin, 2008)</w:t>
      </w:r>
      <w:r>
        <w:rPr/>
      </w:r>
      <w:r>
        <w:rPr/>
        <w:fldChar w:fldCharType="end"/>
      </w:r>
      <w:bookmarkEnd w:id="117"/>
      <w:bookmarkEnd w:id="118"/>
      <w:bookmarkEnd w:id="119"/>
      <w:r>
        <w:rPr>
          <w:rFonts w:ascii="FreeSans" w:hAnsi="FreeSans"/>
        </w:rPr>
        <w:t xml:space="preserve"> that</w:t>
      </w:r>
      <w:r>
        <w:rPr>
          <w:rFonts w:ascii="FreeSans" w:hAnsi="FreeSans"/>
          <w:color w:val="000000" w:themeColor="text1"/>
        </w:rPr>
        <w:t xml:space="preserve"> codes injuries according to their anatomic location </w:t>
      </w:r>
      <w:r>
        <w:rPr>
          <w:rFonts w:ascii="FreeSans" w:hAnsi="FreeSans"/>
        </w:rPr>
        <w:t>(head or neck, face, chest, abdominal or pelvic contents, extremities or pelvic girdle and external) and assigns a severity score from 1-6, based on the probability of death or disability. Injuries &gt;2 are classified as ‘severe’</w:t>
      </w:r>
      <w:r>
        <w:rPr>
          <w:rFonts w:ascii="FreeSans" w:hAnsi="FreeSans"/>
          <w:color w:val="000000" w:themeColor="text1"/>
        </w:rPr>
        <w:t xml:space="preserve">.  </w:t>
      </w:r>
    </w:p>
    <w:p>
      <w:pPr>
        <w:pStyle w:val="Normal"/>
        <w:spacing w:lineRule="auto" w:line="360" w:before="285" w:after="285"/>
        <w:jc w:val="both"/>
        <w:rPr/>
      </w:pPr>
      <w:r>
        <w:rPr>
          <w:rFonts w:ascii="FreeSans" w:hAnsi="FreeSans"/>
          <w:color w:val="000000" w:themeColor="text1"/>
        </w:rPr>
        <w:t xml:space="preserve">For this analysis, injury severity was examined using the Injury Severity Score (ISS), </w:t>
      </w:r>
      <w:r>
        <w:rPr>
          <w:rFonts w:ascii="FreeSans" w:hAnsi="FreeSans"/>
        </w:rPr>
        <w:t xml:space="preserve">an ordinal scale ranging from 1 to 75, reflecting the sum of the highest AIS scores for the three most severely injured body regions. While ISS was the primary measure for this analysis, the New Injury Severity Score (NISS) was also assessed. This is </w:t>
      </w:r>
      <w:r>
        <w:rPr>
          <w:rFonts w:eastAsia="" w:ascii="FreeSans" w:hAnsi="FreeSans" w:eastAsiaTheme="minorEastAsia"/>
        </w:rPr>
        <w:t xml:space="preserve">the sum of the squares of the three highest Abbreviated Injury Scale scores for each patient, regardless of body region. Both have similar predictive capacity for mortality, however some studies suggest that the NISS is thought to be a better measure of severity for blunt trauma patients, </w:t>
      </w:r>
      <w:r>
        <w:fldChar w:fldCharType="begin"/>
      </w:r>
      <w:r>
        <w:rPr/>
        <w:instrText>ADDIN EN.CITE &lt;EndNote&gt;&lt;Cite&gt;&lt;Author&gt;Tohira&lt;/Author&gt;&lt;Year&gt;2012&lt;/Year&gt;&lt;RecNum&gt;4575&lt;/RecNum&gt;&lt;DisplayText&gt;(Tohira et al., 2012)&lt;/DisplayText&gt;&lt;record&gt;&lt;rec-number&gt;4575&lt;/rec-number&gt;&lt;foreign-keys&gt;&lt;key app="EN" db-id="9atez299nzwaf9eaxt5xxedjf2pp90vsfet5" timestamp="0"&gt;4575&lt;/key&gt;&lt;/foreign-keys&gt;&lt;ref-type name="Journal Article"&gt;17&lt;/ref-type&gt;&lt;contributors&gt;&lt;authors&gt;&lt;author&gt;Tohira, Hideo&lt;/author&gt;&lt;author&gt;Jacobs, Ian&lt;/author&gt;&lt;author&gt;Mountain, David&lt;/author&gt;&lt;author&gt;Gibson, Nick&lt;/author&gt;&lt;author&gt;Yeo, Allen&lt;/author&gt;&lt;/authors&gt;&lt;/contributors&gt;&lt;titles&gt;&lt;title&gt;Systematic review of predictive performance of injury severity scoring tools&lt;/title&gt;&lt;secondary-title&gt;Scandinavian journal of trauma, resuscitation and emergency medicine&lt;/secondary-title&gt;&lt;/titles&gt;&lt;pages&gt;63&lt;/pages&gt;&lt;volume&gt;20&lt;/volume&gt;&lt;number&gt;1&lt;/number&gt;&lt;dates&gt;&lt;year&gt;2012&lt;/year&gt;&lt;/dates&gt;&lt;isbn&gt;1757-7241&lt;/isbn&gt;&lt;urls&gt;&lt;/urls&gt;&lt;/record&gt;&lt;/Cite&gt;&lt;/EndNote&gt;</w:instrText>
      </w:r>
      <w:r>
        <w:rPr/>
        <w:fldChar w:fldCharType="separate"/>
      </w:r>
      <w:bookmarkStart w:id="120" w:name="__Fieldmark__3438_3765729933"/>
      <w:r>
        <w:rPr/>
      </w:r>
      <w:r>
        <w:rPr>
          <w:rFonts w:eastAsia="" w:ascii="FreeSans" w:hAnsi="FreeSans" w:eastAsiaTheme="minorEastAsia"/>
        </w:rPr>
        <w:t>(</w:t>
      </w:r>
      <w:bookmarkStart w:id="121" w:name="__Fieldmark__16994_1677319845"/>
      <w:r>
        <w:rPr>
          <w:rFonts w:eastAsia="" w:ascii="FreeSans" w:hAnsi="FreeSans" w:eastAsiaTheme="minorEastAsia"/>
        </w:rPr>
        <w:t>T</w:t>
      </w:r>
      <w:bookmarkStart w:id="122" w:name="__Fieldmark__979_2353388183"/>
      <w:r>
        <w:rPr>
          <w:rFonts w:eastAsia="" w:ascii="FreeSans" w:hAnsi="FreeSans" w:eastAsiaTheme="minorEastAsia"/>
        </w:rPr>
        <w:t>ohira et al., 2012)</w:t>
      </w:r>
      <w:r>
        <w:rPr/>
      </w:r>
      <w:r>
        <w:rPr/>
        <w:fldChar w:fldCharType="end"/>
      </w:r>
      <w:bookmarkEnd w:id="120"/>
      <w:bookmarkEnd w:id="121"/>
      <w:bookmarkEnd w:id="122"/>
      <w:r>
        <w:rPr>
          <w:rFonts w:eastAsia="" w:ascii="FreeSans" w:hAnsi="FreeSans" w:eastAsiaTheme="minorEastAsia"/>
        </w:rPr>
        <w:t xml:space="preserve"> which constitute most (95%) of injury cases in Australia.</w:t>
      </w:r>
    </w:p>
    <w:p>
      <w:pPr>
        <w:pStyle w:val="Normal"/>
        <w:spacing w:lineRule="auto" w:line="360" w:before="0" w:after="0"/>
        <w:jc w:val="both"/>
        <w:rPr/>
      </w:pPr>
      <w:r>
        <w:rPr>
          <w:rFonts w:ascii="FreeSans" w:hAnsi="FreeSans"/>
          <w:color w:val="000000" w:themeColor="text1"/>
        </w:rPr>
        <w:t xml:space="preserve">The mechanism of injury, injury location and the number of comorbidities were also included in the analysis. Details of the first hospital provider after the injury were also incorporated into the analysis, as some patients were initially treated at another hospital before being transferred to definitive care.  </w:t>
      </w:r>
    </w:p>
    <w:p>
      <w:pPr>
        <w:pStyle w:val="Normal"/>
        <w:spacing w:lineRule="auto" w:line="360" w:before="0" w:after="0"/>
        <w:jc w:val="both"/>
        <w:rPr>
          <w:rFonts w:ascii="FreeSans" w:hAnsi="FreeSans" w:eastAsia="DengXian Light" w:cs=""/>
          <w:b/>
          <w:b/>
          <w:color w:val="000000" w:themeColor="text1"/>
          <w:kern w:val="0"/>
          <w:sz w:val="32"/>
          <w:szCs w:val="32"/>
          <w:lang w:val="en-GB" w:eastAsia="zh-CN" w:bidi="ar-SA"/>
        </w:rPr>
      </w:pPr>
      <w:r>
        <w:rPr>
          <w:rFonts w:eastAsia="DengXian Light" w:cs="" w:ascii="FreeSans" w:hAnsi="FreeSans"/>
          <w:b/>
          <w:color w:val="000000" w:themeColor="text1"/>
          <w:kern w:val="0"/>
          <w:sz w:val="32"/>
          <w:szCs w:val="32"/>
          <w:lang w:val="en-GB" w:eastAsia="zh-CN" w:bidi="ar-SA"/>
        </w:rPr>
      </w:r>
    </w:p>
    <w:p>
      <w:pPr>
        <w:pStyle w:val="Normal"/>
        <w:spacing w:lineRule="auto" w:line="360" w:before="0" w:after="0"/>
        <w:jc w:val="both"/>
        <w:rPr>
          <w:b/>
          <w:b/>
          <w:bCs/>
          <w:sz w:val="32"/>
          <w:szCs w:val="32"/>
        </w:rPr>
      </w:pPr>
      <w:r>
        <w:rPr>
          <w:rFonts w:eastAsia="" w:cs="" w:ascii="FreeSans" w:hAnsi="FreeSans" w:cstheme="majorBidi" w:eastAsiaTheme="majorEastAsia"/>
          <w:b/>
          <w:bCs/>
          <w:color w:val="000000" w:themeShade="bf"/>
          <w:kern w:val="0"/>
          <w:sz w:val="32"/>
          <w:szCs w:val="32"/>
          <w:lang w:val="en-GB" w:eastAsia="zh-CN" w:bidi="ar-SA"/>
        </w:rPr>
        <w:t>Statistica</w:t>
      </w:r>
      <w:r>
        <w:rPr>
          <w:rFonts w:ascii="FreeSans" w:hAnsi="FreeSans"/>
          <w:b/>
          <w:bCs/>
          <w:kern w:val="0"/>
          <w:sz w:val="32"/>
          <w:szCs w:val="32"/>
          <w:lang w:eastAsia="zh-CN" w:bidi="ar-SA"/>
        </w:rPr>
        <w:t>l analysis</w:t>
      </w:r>
    </w:p>
    <w:p>
      <w:pPr>
        <w:pStyle w:val="Normal"/>
        <w:widowControl/>
        <w:bidi w:val="0"/>
        <w:spacing w:lineRule="auto" w:line="360" w:before="0" w:after="0"/>
        <w:jc w:val="both"/>
        <w:rPr>
          <w:rFonts w:ascii="FreeSans" w:hAnsi="FreeSans"/>
          <w:color w:val="000000" w:themeColor="text1"/>
        </w:rPr>
      </w:pPr>
      <w:r>
        <w:rPr>
          <w:rFonts w:ascii="FreeSans" w:hAnsi="FreeSans"/>
          <w:kern w:val="0"/>
          <w:lang w:eastAsia="zh-CN" w:bidi="ar-SA"/>
        </w:rPr>
        <w:t>The patients were categorized by their IRSD score into four groups (quartiles of relative</w:t>
      </w:r>
      <w:r>
        <w:rPr>
          <w:rFonts w:ascii="FreeSans" w:hAnsi="FreeSans"/>
        </w:rPr>
        <w:t xml:space="preserve"> socioeconomic disadvantage) such that each quartile contained about 25% of the total patient population </w:t>
      </w:r>
      <w:r>
        <w:rPr>
          <w:rFonts w:ascii="FreeSans" w:hAnsi="FreeSans"/>
          <w:color w:val="000000" w:themeColor="text1"/>
        </w:rPr>
        <w:t>Exploratory analysis firstly determined the patients’ age, sex, and injury characteristics and area-level socio-demographic (IRSD) and geographical variables. Categorical variables were summarised using counts and percentages; continuous variables were described according to means and standard deviations (SD). For the bivariate analyses, independent t-tests were used where the variables were normally distributed. Chi-square (</w:t>
      </w:r>
      <w:r>
        <w:rPr>
          <w:rFonts w:ascii="FreeSans" w:hAnsi="FreeSans"/>
          <w:i/>
          <w:iCs/>
          <w:color w:val="000000" w:themeColor="text1"/>
        </w:rPr>
        <w:t>X</w:t>
      </w:r>
      <w:r>
        <w:rPr>
          <w:rFonts w:ascii="FreeSans" w:hAnsi="FreeSans"/>
          <w:i/>
          <w:iCs/>
          <w:color w:val="000000" w:themeColor="text1"/>
          <w:vertAlign w:val="superscript"/>
        </w:rPr>
        <w:t>2</w:t>
      </w:r>
      <w:r>
        <w:rPr>
          <w:rFonts w:ascii="FreeSans" w:hAnsi="FreeSans"/>
          <w:i/>
          <w:iCs/>
          <w:color w:val="000000" w:themeColor="text1"/>
        </w:rPr>
        <w:t>)</w:t>
      </w:r>
      <w:r>
        <w:rPr>
          <w:rFonts w:ascii="FreeSans" w:hAnsi="FreeSans"/>
          <w:color w:val="000000" w:themeColor="text1"/>
        </w:rPr>
        <w:t xml:space="preserve"> statistics were used to compare categorical variables. Where the variables were not normally distributed, non-parametric methods were used (Kruskall Wallis H Test, Mann Whitney U Test) and median values reported.</w:t>
      </w:r>
    </w:p>
    <w:p>
      <w:pPr>
        <w:pStyle w:val="Normal"/>
        <w:spacing w:lineRule="auto" w:line="360" w:before="240" w:after="0"/>
        <w:jc w:val="both"/>
        <w:rPr>
          <w:color w:val="000000" w:themeColor="text1"/>
        </w:rPr>
      </w:pPr>
      <w:r>
        <w:rPr>
          <w:rFonts w:ascii="FreeSans" w:hAnsi="FreeSans"/>
          <w:color w:val="000000" w:themeColor="text1"/>
        </w:rPr>
        <w:t xml:space="preserve">Binary logistic regression was performed to determine the relative odds (adjusted for age and sex) of sustaining injury based on remoteness of residence, injury, referring hospital and State of injury, where, for each factor, IRSD was the main explanatory variable. Similarly, multiple regression was performed to evaluate the relationship between IRSD and the following dependent variables: the number of comorbidities and ISS, NISS. For each analysis, IRSD was forced into the model to help determine the relationship between IRSD, remoteness and patient and injury factors. </w:t>
      </w:r>
    </w:p>
    <w:p>
      <w:pPr>
        <w:pStyle w:val="Normal"/>
        <w:widowControl w:val="false"/>
        <w:spacing w:lineRule="auto" w:line="360" w:before="240" w:after="0"/>
        <w:jc w:val="both"/>
        <w:rPr>
          <w:color w:val="000000" w:themeColor="text1"/>
        </w:rPr>
      </w:pPr>
      <w:r>
        <w:rPr>
          <w:rFonts w:eastAsia="MS Mincho" w:ascii="FreeSans" w:hAnsi="FreeSans"/>
          <w:color w:val="000000" w:themeColor="text1"/>
        </w:rPr>
        <w:t>SPSS statistical software (I</w:t>
      </w:r>
      <w:r>
        <w:rPr>
          <w:rFonts w:ascii="FreeSans" w:hAnsi="FreeSans"/>
          <w:color w:val="000000" w:themeColor="text1"/>
          <w:shd w:fill="FFFFFF" w:val="clear"/>
        </w:rPr>
        <w:t>BM Corp. Released 2013. IBM SPSS Statistics for Macintosh, Version 22.0. Armonk, NY: IBM Corp) was used for this analysis.</w:t>
      </w:r>
      <w:r>
        <w:rPr>
          <w:rFonts w:ascii="FreeSans" w:hAnsi="FreeSans"/>
          <w:color w:val="000000" w:themeColor="text1"/>
        </w:rPr>
        <w:t xml:space="preserve"> The study received full Ethics approval from the GCH Human Research Ethics Committee, the GCUH Trauma Registry, Griffith University, and approval under the Public Health Act, from the Queensland Government. </w:t>
      </w:r>
    </w:p>
    <w:p>
      <w:pPr>
        <w:pStyle w:val="Heading1"/>
        <w:spacing w:lineRule="auto" w:line="360"/>
        <w:jc w:val="both"/>
        <w:rPr>
          <w:rFonts w:ascii="FreeSans" w:hAnsi="FreeSans"/>
        </w:rPr>
      </w:pPr>
      <w:r>
        <w:rPr/>
        <w:t>Results</w:t>
      </w:r>
    </w:p>
    <w:p>
      <w:pPr>
        <w:pStyle w:val="Heading1"/>
        <w:spacing w:lineRule="auto" w:line="360" w:before="0" w:after="0"/>
        <w:jc w:val="both"/>
        <w:rPr>
          <w:rFonts w:ascii="FreeSans" w:hAnsi="FreeSans"/>
        </w:rPr>
      </w:pPr>
      <w:r>
        <w:rPr/>
        <w:t>Socio-demographic and injury data</w:t>
      </w:r>
    </w:p>
    <w:p>
      <w:pPr>
        <w:pStyle w:val="Normal"/>
        <w:spacing w:lineRule="auto" w:line="360" w:before="0" w:after="0"/>
        <w:jc w:val="both"/>
        <w:rPr>
          <w:color w:val="000000" w:themeColor="text1"/>
        </w:rPr>
      </w:pPr>
      <w:r>
        <w:rPr>
          <w:rFonts w:ascii="FreeSans" w:hAnsi="FreeSans"/>
          <w:color w:val="000000" w:themeColor="text1"/>
        </w:rPr>
        <w:t>A total of 1025 patients were identified from the hospital’s Trauma Registry data base for the four-year period 2014 to 2017. Of these 790 (77%) were male and 235 (23%) were female. The median ISS was 17 (IQR 14-26), with 30% of patients in the high ISS category. The median NISS was 24 (IQR 17-34), with 30% of patients in the high ISS category Compared to those living in ‘Major Cities’, 22% of patients lived in areas defined as ‘regional’ or ‘remote’ and 24% sustained their injuries in these locations (Figure 1). There were 34% of patients with no comorbidities, where 28% had more than two co-morbidities. The median number of comorbidities was 1 (IQR=0-3).</w:t>
      </w:r>
    </w:p>
    <w:p>
      <w:pPr>
        <w:pStyle w:val="Normal"/>
        <w:spacing w:lineRule="auto" w:line="360" w:before="240" w:after="0"/>
        <w:jc w:val="both"/>
        <w:rPr>
          <w:rFonts w:ascii="FreeSans" w:hAnsi="FreeSans"/>
        </w:rPr>
      </w:pPr>
      <w:r>
        <w:rPr>
          <w:rFonts w:ascii="FreeSans" w:hAnsi="FreeSans"/>
          <w:color w:val="000000" w:themeColor="text1"/>
        </w:rPr>
        <w:t xml:space="preserve">In relation to people sustaining severe injuries (AIS &gt;2), 16% of these were abdominal injuries, 1%, external injuries, 25%, injuries to the extremities, 56%, injuries to the chest and 36% sustained severe head injuries. Of those sustaining abdominal injuries (N=371), 43% were severe (AIS&gt;2), for external injuries (N=863), 2% were severe, for extremity injuries (N=629), 41% of injuries were severe, for face injuries (N=229), 19% were severe, for chest injuries (N=709), 81% were severe, and for head injuries (N=536), 69% were severe. </w:t>
      </w:r>
    </w:p>
    <w:p>
      <w:pPr>
        <w:pStyle w:val="Normal"/>
        <w:spacing w:lineRule="auto" w:line="480" w:before="240" w:after="0"/>
        <w:rPr>
          <w:b/>
          <w:b/>
          <w:lang w:eastAsia="en-US"/>
        </w:rPr>
      </w:pPr>
      <w:r>
        <w:rPr>
          <w:b/>
          <w:lang w:eastAsia="en-US"/>
        </w:rPr>
      </w:r>
    </w:p>
    <w:p>
      <w:pPr>
        <w:pStyle w:val="Normal"/>
        <w:spacing w:lineRule="auto" w:line="480" w:before="240" w:after="0"/>
        <w:rPr>
          <w:rFonts w:ascii="FreeSans" w:hAnsi="FreeSans"/>
        </w:rPr>
      </w:pPr>
      <w:r>
        <w:rPr>
          <w:rFonts w:ascii="FreeSans" w:hAnsi="FreeSans"/>
          <w:b/>
          <w:lang w:eastAsia="en-US"/>
        </w:rPr>
        <w:t>Figure 1. Residential Origin of the study sample (location by central point of the Postal Code – one point may indicate many patients)</w:t>
      </w:r>
    </w:p>
    <w:p>
      <w:pPr>
        <w:pStyle w:val="Normal"/>
        <w:spacing w:lineRule="auto" w:line="480" w:before="240" w:after="0"/>
        <w:jc w:val="both"/>
        <w:rPr>
          <w:rFonts w:ascii="FreeSans" w:hAnsi="FreeSans"/>
        </w:rPr>
      </w:pPr>
      <w:r>
        <w:rPr/>
        <w:drawing>
          <wp:inline distT="0" distB="0" distL="0" distR="0">
            <wp:extent cx="4000500" cy="52158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
                    <a:stretch>
                      <a:fillRect/>
                    </a:stretch>
                  </pic:blipFill>
                  <pic:spPr bwMode="auto">
                    <a:xfrm>
                      <a:off x="0" y="0"/>
                      <a:ext cx="4000500" cy="5215890"/>
                    </a:xfrm>
                    <a:prstGeom prst="rect">
                      <a:avLst/>
                    </a:prstGeom>
                  </pic:spPr>
                </pic:pic>
              </a:graphicData>
            </a:graphic>
          </wp:inline>
        </w:drawing>
      </w:r>
      <w:r>
        <w:br w:type="page"/>
      </w:r>
    </w:p>
    <w:p>
      <w:pPr>
        <w:pStyle w:val="Normal"/>
        <w:jc w:val="both"/>
        <w:rPr>
          <w:rFonts w:ascii="FreeSans" w:hAnsi="FreeSans"/>
        </w:rPr>
      </w:pPr>
      <w:r>
        <w:rPr>
          <w:rFonts w:ascii="FreeSans" w:hAnsi="FreeSans"/>
          <w:b/>
          <w:color w:val="000000" w:themeColor="text1"/>
        </w:rPr>
        <w:t>Table 2: Socio-demographic and injury data according to sex</w:t>
      </w:r>
    </w:p>
    <w:p>
      <w:pPr>
        <w:pStyle w:val="Normal"/>
        <w:jc w:val="both"/>
        <w:rPr>
          <w:rFonts w:ascii="FreeSans" w:hAnsi="FreeSans"/>
          <w:color w:val="000000" w:themeColor="text1"/>
        </w:rPr>
      </w:pPr>
      <w:r>
        <w:rPr>
          <w:rFonts w:ascii="FreeSans" w:hAnsi="FreeSans"/>
          <w:color w:val="000000" w:themeColor="text1"/>
        </w:rPr>
      </w:r>
    </w:p>
    <w:tbl>
      <w:tblPr>
        <w:tblStyle w:val="PlainTable21"/>
        <w:tblW w:w="9072" w:type="dxa"/>
        <w:jc w:val="left"/>
        <w:tblInd w:w="-108" w:type="dxa"/>
        <w:tblCellMar>
          <w:top w:w="0" w:type="dxa"/>
          <w:left w:w="108" w:type="dxa"/>
          <w:bottom w:w="0" w:type="dxa"/>
          <w:right w:w="108" w:type="dxa"/>
        </w:tblCellMar>
        <w:tblLook w:noVBand="1" w:val="04a0" w:noHBand="0" w:lastColumn="0" w:firstColumn="1" w:lastRow="0" w:firstRow="1"/>
      </w:tblPr>
      <w:tblGrid>
        <w:gridCol w:w="2517"/>
        <w:gridCol w:w="2548"/>
        <w:gridCol w:w="1968"/>
        <w:gridCol w:w="2038"/>
      </w:tblGrid>
      <w:tr>
        <w:trPr>
          <w:cnfStyle w:val="100000000000" w:firstRow="1" w:lastRow="0" w:firstColumn="0" w:lastColumn="0" w:oddVBand="0" w:evenVBand="0" w:oddHBand="0"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rPr>
            </w:pPr>
            <w:r>
              <w:rPr>
                <w:rFonts w:ascii="FreeSans" w:hAnsi="FreeSans"/>
                <w:b/>
                <w:bCs/>
                <w:color w:val="000000" w:themeColor="text1"/>
                <w:sz w:val="18"/>
                <w:szCs w:val="18"/>
              </w:rPr>
            </w:r>
          </w:p>
        </w:tc>
        <w:tc>
          <w:tcPr>
            <w:tcW w:w="2548"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color w:val="000000" w:themeColor="text1"/>
                <w:sz w:val="18"/>
                <w:szCs w:val="18"/>
              </w:rPr>
            </w:pPr>
            <w:r>
              <w:rPr>
                <w:rFonts w:ascii="FreeSans" w:hAnsi="FreeSans"/>
                <w:b/>
                <w:bCs/>
                <w:color w:val="000000" w:themeColor="text1"/>
                <w:sz w:val="18"/>
                <w:szCs w:val="18"/>
              </w:rPr>
            </w:r>
          </w:p>
        </w:tc>
        <w:tc>
          <w:tcPr>
            <w:tcW w:w="1968"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color w:val="000000" w:themeColor="text1"/>
                <w:sz w:val="18"/>
                <w:szCs w:val="18"/>
              </w:rPr>
              <w:t>Male</w:t>
            </w:r>
          </w:p>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color w:val="000000" w:themeColor="text1"/>
                <w:sz w:val="18"/>
                <w:szCs w:val="18"/>
              </w:rPr>
              <w:t>(n=790)</w:t>
            </w:r>
          </w:p>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color w:val="000000" w:themeColor="text1"/>
                <w:sz w:val="18"/>
                <w:szCs w:val="18"/>
              </w:rPr>
            </w:pPr>
            <w:r>
              <w:rPr>
                <w:rFonts w:ascii="FreeSans" w:hAnsi="FreeSans"/>
                <w:b/>
                <w:bCs/>
                <w:color w:val="000000" w:themeColor="text1"/>
                <w:sz w:val="18"/>
                <w:szCs w:val="18"/>
              </w:rPr>
            </w:r>
          </w:p>
        </w:tc>
        <w:tc>
          <w:tcPr>
            <w:tcW w:w="2038"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color w:val="000000" w:themeColor="text1"/>
                <w:sz w:val="18"/>
                <w:szCs w:val="18"/>
              </w:rPr>
              <w:t>Female</w:t>
            </w:r>
          </w:p>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color w:val="000000" w:themeColor="text1"/>
                <w:sz w:val="18"/>
                <w:szCs w:val="18"/>
              </w:rPr>
              <w:t>(N=235)</w:t>
            </w:r>
          </w:p>
        </w:tc>
      </w:tr>
      <w:tr>
        <w:trPr>
          <w:trHeight w:val="554"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rPr>
                <w:rFonts w:ascii="FreeSans" w:hAnsi="FreeSans"/>
              </w:rPr>
            </w:pPr>
            <w:r>
              <w:rPr>
                <w:rFonts w:ascii="FreeSans" w:hAnsi="FreeSans"/>
                <w:b/>
                <w:bCs/>
                <w:color w:val="000000" w:themeColor="text1"/>
                <w:sz w:val="18"/>
                <w:szCs w:val="18"/>
              </w:rPr>
              <w:t xml:space="preserve">Age </w:t>
            </w:r>
          </w:p>
          <w:p>
            <w:pPr>
              <w:pStyle w:val="Normal"/>
              <w:rPr>
                <w:rFonts w:ascii="FreeSans" w:hAnsi="FreeSans"/>
              </w:rPr>
            </w:pPr>
            <w:r>
              <w:rPr>
                <w:rFonts w:ascii="FreeSans" w:hAnsi="FreeSans"/>
                <w:b/>
                <w:bCs/>
                <w:color w:val="000000" w:themeColor="text1"/>
                <w:sz w:val="18"/>
                <w:szCs w:val="18"/>
              </w:rPr>
              <w:t>Mean (SD)</w:t>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49.6 (21.41)</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44.4 (18.7)</w:t>
            </w:r>
          </w:p>
        </w:tc>
      </w:tr>
      <w:tr>
        <w:trPr>
          <w:trHeight w:val="667"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rPr>
                <w:rFonts w:ascii="FreeSans" w:hAnsi="FreeSans"/>
              </w:rPr>
            </w:pPr>
            <w:r>
              <w:rPr>
                <w:rFonts w:ascii="FreeSans" w:hAnsi="FreeSans"/>
                <w:b/>
                <w:bCs/>
                <w:color w:val="000000" w:themeColor="text1"/>
                <w:sz w:val="18"/>
                <w:szCs w:val="18"/>
              </w:rPr>
              <w:t>Year of admission</w:t>
            </w:r>
          </w:p>
        </w:tc>
        <w:tc>
          <w:tcPr>
            <w:tcW w:w="254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2014: 214</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2015: 256</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2016: 293</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2017: 294</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196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168 (21.3)</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194 (24.2)</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230 (29.1)</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230 (29.1)</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203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46 (19)</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62 (26.4)</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63 (26.8)</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64 (27.2)</w:t>
            </w:r>
          </w:p>
        </w:tc>
      </w:tr>
      <w:tr>
        <w:trPr>
          <w:trHeight w:val="843"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rPr>
                <w:rFonts w:ascii="FreeSans" w:hAnsi="FreeSans"/>
                <w:b/>
                <w:b/>
                <w:bCs/>
                <w:color w:val="000000" w:themeColor="text1"/>
                <w:sz w:val="18"/>
                <w:szCs w:val="18"/>
              </w:rPr>
            </w:pPr>
            <w:r>
              <w:rPr>
                <w:rFonts w:ascii="FreeSans" w:hAnsi="FreeSans"/>
                <w:b/>
                <w:bCs/>
                <w:color w:val="000000" w:themeColor="text1"/>
                <w:sz w:val="18"/>
                <w:szCs w:val="18"/>
              </w:rPr>
            </w:r>
          </w:p>
          <w:p>
            <w:pPr>
              <w:pStyle w:val="Normal"/>
              <w:rPr>
                <w:rFonts w:ascii="FreeSans" w:hAnsi="FreeSans"/>
              </w:rPr>
            </w:pPr>
            <w:r>
              <w:rPr>
                <w:rFonts w:ascii="FreeSans" w:hAnsi="FreeSans"/>
                <w:b/>
                <w:bCs/>
                <w:color w:val="000000" w:themeColor="text1"/>
                <w:sz w:val="18"/>
                <w:szCs w:val="18"/>
              </w:rPr>
              <w:t>Remoteness of residence category*</w:t>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Major Cities (766)</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Regional/Remote (224)</w:t>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590 (76.7)</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179 (23.3)</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176 (79.6)</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45 (20.4)</w:t>
            </w:r>
          </w:p>
        </w:tc>
      </w:tr>
      <w:tr>
        <w:trPr>
          <w:trHeight w:val="667"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rPr>
                <w:rFonts w:ascii="FreeSans" w:hAnsi="FreeSans"/>
                <w:b/>
                <w:b/>
                <w:bCs/>
                <w:color w:val="000000" w:themeColor="text1"/>
                <w:sz w:val="18"/>
                <w:szCs w:val="18"/>
              </w:rPr>
            </w:pPr>
            <w:r>
              <w:rPr>
                <w:rFonts w:ascii="FreeSans" w:hAnsi="FreeSans"/>
                <w:b/>
                <w:bCs/>
                <w:color w:val="000000" w:themeColor="text1"/>
                <w:sz w:val="18"/>
                <w:szCs w:val="18"/>
              </w:rPr>
            </w:r>
          </w:p>
          <w:p>
            <w:pPr>
              <w:pStyle w:val="Normal"/>
              <w:rPr>
                <w:rFonts w:ascii="FreeSans" w:hAnsi="FreeSans"/>
              </w:rPr>
            </w:pPr>
            <w:r>
              <w:rPr>
                <w:rFonts w:ascii="FreeSans" w:hAnsi="FreeSans"/>
                <w:b/>
                <w:bCs/>
                <w:color w:val="000000" w:themeColor="text1"/>
                <w:sz w:val="18"/>
                <w:szCs w:val="18"/>
              </w:rPr>
              <w:t>State of Injury**</w:t>
            </w:r>
          </w:p>
        </w:tc>
        <w:tc>
          <w:tcPr>
            <w:tcW w:w="254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A (NSW) (239)</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B (QLD) (741)</w:t>
            </w:r>
          </w:p>
        </w:tc>
        <w:tc>
          <w:tcPr>
            <w:tcW w:w="196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186 (24.8)</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565 (75.2)</w:t>
            </w:r>
          </w:p>
        </w:tc>
        <w:tc>
          <w:tcPr>
            <w:tcW w:w="203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53 (23.1)</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176 (76.9)</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r>
      <w:tr>
        <w:trPr>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rPr>
                <w:rFonts w:ascii="FreeSans" w:hAnsi="FreeSans"/>
                <w:b/>
                <w:b/>
                <w:bCs/>
                <w:color w:val="000000" w:themeColor="text1"/>
                <w:sz w:val="18"/>
                <w:szCs w:val="18"/>
              </w:rPr>
            </w:pPr>
            <w:r>
              <w:rPr>
                <w:rFonts w:ascii="FreeSans" w:hAnsi="FreeSans"/>
                <w:b/>
                <w:bCs/>
                <w:color w:val="000000" w:themeColor="text1"/>
                <w:sz w:val="18"/>
                <w:szCs w:val="18"/>
              </w:rPr>
            </w:r>
          </w:p>
          <w:p>
            <w:pPr>
              <w:pStyle w:val="Normal"/>
              <w:rPr>
                <w:rFonts w:ascii="FreeSans" w:hAnsi="FreeSans"/>
              </w:rPr>
            </w:pPr>
            <w:r>
              <w:rPr>
                <w:rFonts w:ascii="FreeSans" w:hAnsi="FreeSans"/>
                <w:b/>
                <w:bCs/>
                <w:color w:val="000000" w:themeColor="text1"/>
                <w:sz w:val="18"/>
                <w:szCs w:val="18"/>
              </w:rPr>
              <w:t>Relative Socioeconomic Disadvantage</w:t>
            </w:r>
          </w:p>
          <w:p>
            <w:pPr>
              <w:pStyle w:val="Normal"/>
              <w:rPr>
                <w:rFonts w:ascii="FreeSans" w:hAnsi="FreeSans"/>
                <w:b/>
                <w:b/>
                <w:bCs/>
                <w:color w:val="000000" w:themeColor="text1"/>
                <w:sz w:val="18"/>
                <w:szCs w:val="18"/>
              </w:rPr>
            </w:pPr>
            <w:r>
              <w:rPr>
                <w:rFonts w:ascii="FreeSans" w:hAnsi="FreeSans"/>
                <w:b/>
                <w:bCs/>
                <w:color w:val="000000" w:themeColor="text1"/>
                <w:sz w:val="18"/>
                <w:szCs w:val="18"/>
              </w:rPr>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Q1. Most disadvantaged (243)</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Q2. (245)</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Q3. (248)</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Q4. Least disadvantaged  (247)</w:t>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193 (25.4)</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192(25.3)</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188 (24.7)</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187 (24.6)</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50 (20.6)</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53 (21.6)</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60 (24.2)</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60 (24.3)</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r>
      <w:tr>
        <w:trPr>
          <w:trHeight w:val="813"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rPr>
                <w:rFonts w:ascii="FreeSans" w:hAnsi="FreeSans"/>
                <w:b/>
                <w:b/>
                <w:bCs/>
                <w:color w:val="000000" w:themeColor="text1"/>
                <w:sz w:val="18"/>
                <w:szCs w:val="18"/>
              </w:rPr>
            </w:pPr>
            <w:r>
              <w:rPr>
                <w:rFonts w:ascii="FreeSans" w:hAnsi="FreeSans"/>
                <w:b/>
                <w:bCs/>
                <w:color w:val="000000" w:themeColor="text1"/>
                <w:sz w:val="18"/>
                <w:szCs w:val="18"/>
              </w:rPr>
            </w:r>
          </w:p>
          <w:p>
            <w:pPr>
              <w:pStyle w:val="Normal"/>
              <w:rPr>
                <w:rFonts w:ascii="FreeSans" w:hAnsi="FreeSans"/>
              </w:rPr>
            </w:pPr>
            <w:r>
              <w:rPr>
                <w:rFonts w:ascii="FreeSans" w:hAnsi="FreeSans"/>
                <w:b/>
                <w:bCs/>
                <w:color w:val="000000" w:themeColor="text1"/>
                <w:sz w:val="18"/>
                <w:szCs w:val="18"/>
              </w:rPr>
              <w:t xml:space="preserve">Severity- Injury Site </w:t>
            </w:r>
          </w:p>
          <w:p>
            <w:pPr>
              <w:pStyle w:val="Normal"/>
              <w:rPr>
                <w:rFonts w:ascii="FreeSans" w:hAnsi="FreeSans"/>
              </w:rPr>
            </w:pPr>
            <w:r>
              <w:rPr>
                <w:rFonts w:ascii="FreeSans" w:hAnsi="FreeSans"/>
                <w:b/>
                <w:bCs/>
                <w:color w:val="000000" w:themeColor="text1"/>
                <w:sz w:val="18"/>
                <w:szCs w:val="18"/>
              </w:rPr>
              <w:t>(AIS&gt;2)</w:t>
            </w:r>
          </w:p>
        </w:tc>
        <w:tc>
          <w:tcPr>
            <w:tcW w:w="254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196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203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r>
      <w:tr>
        <w:trPr>
          <w:trHeight w:val="813"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val="false"/>
                <w:bCs/>
                <w:color w:val="000000" w:themeColor="text1"/>
                <w:sz w:val="18"/>
                <w:szCs w:val="18"/>
              </w:rPr>
              <w:t>Abdominal injuries</w:t>
            </w:r>
          </w:p>
          <w:p>
            <w:pPr>
              <w:pStyle w:val="Normal"/>
              <w:jc w:val="both"/>
              <w:rPr>
                <w:rFonts w:ascii="FreeSans" w:hAnsi="FreeSans"/>
              </w:rPr>
            </w:pPr>
            <w:r>
              <w:rPr>
                <w:rFonts w:ascii="FreeSans" w:hAnsi="FreeSans"/>
                <w:b w:val="false"/>
                <w:bCs/>
                <w:color w:val="000000" w:themeColor="text1"/>
                <w:sz w:val="18"/>
                <w:szCs w:val="18"/>
              </w:rPr>
              <w:t>N, (%)</w:t>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Nil</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Minor-Moderate</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Severe</w:t>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509 (64.4)</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160 (20.3)</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121 (15.3)</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145 (61.7)</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51 (21.7)</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39 (16.6)</w:t>
            </w:r>
          </w:p>
        </w:tc>
      </w:tr>
      <w:tr>
        <w:trPr>
          <w:trHeight w:val="811"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val="false"/>
                <w:bCs/>
                <w:color w:val="000000" w:themeColor="text1"/>
                <w:sz w:val="18"/>
                <w:szCs w:val="18"/>
              </w:rPr>
              <w:t>External injuries</w:t>
            </w:r>
          </w:p>
          <w:p>
            <w:pPr>
              <w:pStyle w:val="Normal"/>
              <w:jc w:val="both"/>
              <w:rPr>
                <w:rFonts w:ascii="FreeSans" w:hAnsi="FreeSans"/>
              </w:rPr>
            </w:pPr>
            <w:r>
              <w:rPr>
                <w:rFonts w:ascii="FreeSans" w:hAnsi="FreeSans"/>
                <w:b w:val="false"/>
                <w:bCs/>
                <w:color w:val="000000" w:themeColor="text1"/>
                <w:sz w:val="18"/>
                <w:szCs w:val="18"/>
              </w:rPr>
              <w:t>N, (%)</w:t>
            </w:r>
          </w:p>
          <w:p>
            <w:pPr>
              <w:pStyle w:val="Normal"/>
              <w:jc w:val="both"/>
              <w:rPr>
                <w:rFonts w:ascii="FreeSans" w:hAnsi="FreeSans"/>
                <w:b w:val="false"/>
                <w:b w:val="false"/>
                <w:bCs/>
                <w:color w:val="000000" w:themeColor="text1"/>
                <w:sz w:val="18"/>
                <w:szCs w:val="18"/>
              </w:rPr>
            </w:pPr>
            <w:r>
              <w:rPr>
                <w:rFonts w:ascii="FreeSans" w:hAnsi="FreeSans"/>
                <w:b w:val="false"/>
                <w:bCs/>
                <w:color w:val="000000" w:themeColor="text1"/>
                <w:sz w:val="18"/>
                <w:szCs w:val="18"/>
              </w:rPr>
            </w:r>
          </w:p>
        </w:tc>
        <w:tc>
          <w:tcPr>
            <w:tcW w:w="2548" w:type="dxa"/>
            <w:tcBorders>
              <w:top w:val="single" w:sz="4" w:space="0" w:color="000000"/>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Nil</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Minor-Moderate</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Severe</w:t>
            </w:r>
          </w:p>
        </w:tc>
        <w:tc>
          <w:tcPr>
            <w:tcW w:w="1968" w:type="dxa"/>
            <w:tcBorders>
              <w:top w:val="single" w:sz="4" w:space="0" w:color="000000"/>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124 (15.6)</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654 (82.8)</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12 (1.5)</w:t>
            </w:r>
          </w:p>
        </w:tc>
        <w:tc>
          <w:tcPr>
            <w:tcW w:w="2038" w:type="dxa"/>
            <w:tcBorders>
              <w:top w:val="single" w:sz="4" w:space="0" w:color="000000"/>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38 (16.2)</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195 (83)</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 (0.9)</w:t>
            </w:r>
          </w:p>
        </w:tc>
      </w:tr>
      <w:tr>
        <w:trPr>
          <w:trHeight w:val="808"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val="false"/>
                <w:bCs/>
                <w:color w:val="000000" w:themeColor="text1"/>
                <w:sz w:val="18"/>
                <w:szCs w:val="18"/>
              </w:rPr>
              <w:t>Extremity injuries</w:t>
            </w:r>
          </w:p>
          <w:p>
            <w:pPr>
              <w:pStyle w:val="Normal"/>
              <w:jc w:val="both"/>
              <w:rPr>
                <w:rFonts w:ascii="FreeSans" w:hAnsi="FreeSans"/>
              </w:rPr>
            </w:pPr>
            <w:r>
              <w:rPr>
                <w:rFonts w:ascii="FreeSans" w:hAnsi="FreeSans"/>
                <w:b w:val="false"/>
                <w:bCs/>
                <w:color w:val="000000" w:themeColor="text1"/>
                <w:sz w:val="18"/>
                <w:szCs w:val="18"/>
              </w:rPr>
              <w:t>N, (%)</w:t>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Nil</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Minor-Moderate</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Severe</w:t>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315 (79.5)</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277 (35.1)</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198 (25.1)</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81 (34.5)</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95 (40.4)</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59 (25.2)</w:t>
            </w:r>
          </w:p>
        </w:tc>
      </w:tr>
      <w:tr>
        <w:trPr>
          <w:trHeight w:val="793"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val="false"/>
                <w:bCs/>
                <w:color w:val="000000" w:themeColor="text1"/>
                <w:sz w:val="18"/>
                <w:szCs w:val="18"/>
              </w:rPr>
              <w:t>Face injuries</w:t>
            </w:r>
          </w:p>
          <w:p>
            <w:pPr>
              <w:pStyle w:val="Normal"/>
              <w:jc w:val="both"/>
              <w:rPr>
                <w:rFonts w:ascii="FreeSans" w:hAnsi="FreeSans"/>
              </w:rPr>
            </w:pPr>
            <w:r>
              <w:rPr>
                <w:rFonts w:ascii="FreeSans" w:hAnsi="FreeSans"/>
                <w:b w:val="false"/>
                <w:bCs/>
                <w:color w:val="000000" w:themeColor="text1"/>
                <w:sz w:val="18"/>
                <w:szCs w:val="18"/>
              </w:rPr>
              <w:t>N, (%)</w:t>
            </w:r>
          </w:p>
        </w:tc>
        <w:tc>
          <w:tcPr>
            <w:tcW w:w="254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Nil</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Minor-Moderate</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Severe</w:t>
            </w:r>
          </w:p>
        </w:tc>
        <w:tc>
          <w:tcPr>
            <w:tcW w:w="196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612 (77.5)</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142 (18)</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44 (4.3)</w:t>
            </w:r>
          </w:p>
        </w:tc>
        <w:tc>
          <w:tcPr>
            <w:tcW w:w="203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184 (78.3)</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43 (18.3)</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8 (3.4)</w:t>
            </w:r>
          </w:p>
        </w:tc>
      </w:tr>
      <w:tr>
        <w:trPr>
          <w:trHeight w:val="805"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val="false"/>
                <w:bCs/>
                <w:color w:val="000000" w:themeColor="text1"/>
                <w:sz w:val="18"/>
                <w:szCs w:val="18"/>
              </w:rPr>
              <w:t>Head Injuries</w:t>
            </w:r>
          </w:p>
          <w:p>
            <w:pPr>
              <w:pStyle w:val="Normal"/>
              <w:jc w:val="both"/>
              <w:rPr>
                <w:rFonts w:ascii="FreeSans" w:hAnsi="FreeSans"/>
              </w:rPr>
            </w:pPr>
            <w:r>
              <w:rPr>
                <w:rFonts w:ascii="FreeSans" w:hAnsi="FreeSans"/>
                <w:b w:val="false"/>
                <w:bCs/>
                <w:color w:val="000000" w:themeColor="text1"/>
                <w:sz w:val="18"/>
                <w:szCs w:val="18"/>
              </w:rPr>
              <w:t>N, (%)</w:t>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Nil</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Minor-Moderate</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Severe</w:t>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378 (47.8)</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132 (16.7)</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280 (35.4)</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111 (47.2)</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33 (14.0)</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91 (38.7)</w:t>
            </w:r>
          </w:p>
        </w:tc>
      </w:tr>
      <w:tr>
        <w:trPr>
          <w:trHeight w:val="641"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val="false"/>
                <w:bCs/>
                <w:color w:val="000000" w:themeColor="text1"/>
                <w:sz w:val="18"/>
                <w:szCs w:val="18"/>
              </w:rPr>
              <w:t>Chest injuries</w:t>
            </w:r>
          </w:p>
          <w:p>
            <w:pPr>
              <w:pStyle w:val="Normal"/>
              <w:jc w:val="both"/>
              <w:rPr>
                <w:rFonts w:ascii="FreeSans" w:hAnsi="FreeSans"/>
              </w:rPr>
            </w:pPr>
            <w:r>
              <w:rPr>
                <w:rFonts w:ascii="FreeSans" w:hAnsi="FreeSans"/>
                <w:b w:val="false"/>
                <w:bCs/>
                <w:color w:val="000000" w:themeColor="text1"/>
                <w:sz w:val="18"/>
                <w:szCs w:val="18"/>
              </w:rPr>
              <w:t>N, (%)</w:t>
            </w:r>
          </w:p>
        </w:tc>
        <w:tc>
          <w:tcPr>
            <w:tcW w:w="254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Nil</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Minor-Moderate</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Severe</w:t>
            </w:r>
          </w:p>
        </w:tc>
        <w:tc>
          <w:tcPr>
            <w:tcW w:w="196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246 (31.1)</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102 (12.9)</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442 (55.9)</w:t>
            </w:r>
          </w:p>
        </w:tc>
        <w:tc>
          <w:tcPr>
            <w:tcW w:w="203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70 (29.8)</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32 (13.6)</w:t>
            </w:r>
          </w:p>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133 (56.6)</w:t>
            </w:r>
          </w:p>
        </w:tc>
      </w:tr>
      <w:tr>
        <w:trPr>
          <w:trHeight w:val="494"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color w:val="000000" w:themeColor="text1"/>
                <w:sz w:val="18"/>
                <w:szCs w:val="18"/>
              </w:rPr>
              <w:t>ISS</w:t>
            </w:r>
          </w:p>
          <w:p>
            <w:pPr>
              <w:pStyle w:val="Normal"/>
              <w:jc w:val="both"/>
              <w:rPr>
                <w:rFonts w:ascii="FreeSans" w:hAnsi="FreeSans"/>
              </w:rPr>
            </w:pPr>
            <w:r>
              <w:rPr>
                <w:rFonts w:ascii="FreeSans" w:hAnsi="FreeSans"/>
                <w:b/>
                <w:bCs/>
                <w:color w:val="000000" w:themeColor="text1"/>
                <w:sz w:val="18"/>
                <w:szCs w:val="18"/>
              </w:rPr>
              <w:t>Median (IQR)</w:t>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17 (14-26)</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18 (14-26)</w:t>
            </w:r>
          </w:p>
        </w:tc>
      </w:tr>
      <w:tr>
        <w:trPr>
          <w:trHeight w:val="494" w:hRule="atLeast"/>
        </w:trPr>
        <w:tc>
          <w:tcPr>
            <w:tcW w:w="2517"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both"/>
              <w:rPr>
                <w:rFonts w:ascii="FreeSans" w:hAnsi="FreeSans"/>
              </w:rPr>
            </w:pPr>
            <w:r>
              <w:rPr>
                <w:rFonts w:ascii="FreeSans" w:hAnsi="FreeSans"/>
                <w:b/>
                <w:bCs/>
                <w:color w:val="000000" w:themeColor="text1"/>
                <w:sz w:val="18"/>
                <w:szCs w:val="18"/>
              </w:rPr>
              <w:t>NISS</w:t>
            </w:r>
          </w:p>
          <w:p>
            <w:pPr>
              <w:pStyle w:val="Normal"/>
              <w:jc w:val="both"/>
              <w:rPr>
                <w:rFonts w:ascii="FreeSans" w:hAnsi="FreeSans"/>
              </w:rPr>
            </w:pPr>
            <w:r>
              <w:rPr>
                <w:rFonts w:ascii="FreeSans" w:hAnsi="FreeSans"/>
                <w:b/>
                <w:bCs/>
                <w:color w:val="000000" w:themeColor="text1"/>
                <w:sz w:val="18"/>
                <w:szCs w:val="18"/>
              </w:rPr>
              <w:t>Median (IQR)</w:t>
            </w:r>
          </w:p>
        </w:tc>
        <w:tc>
          <w:tcPr>
            <w:tcW w:w="254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c>
          <w:tcPr>
            <w:tcW w:w="196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24 (17-34)</w:t>
            </w:r>
          </w:p>
        </w:tc>
        <w:tc>
          <w:tcPr>
            <w:tcW w:w="2038" w:type="dxa"/>
            <w:tcBorders>
              <w:top w:val="nil"/>
              <w:bottom w:val="nil"/>
              <w:insideH w:val="nil"/>
            </w:tcBorders>
            <w:shd w:fill="auto" w:val="clear"/>
          </w:tcPr>
          <w:p>
            <w:pPr>
              <w:pStyle w:val="Normal"/>
              <w:jc w:val="both"/>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color w:val="000000" w:themeColor="text1"/>
                <w:sz w:val="18"/>
                <w:szCs w:val="18"/>
              </w:rPr>
              <w:t>22 (17-33)</w:t>
            </w:r>
          </w:p>
        </w:tc>
      </w:tr>
      <w:tr>
        <w:trPr>
          <w:trHeight w:val="494" w:hRule="atLeast"/>
          <w:cnfStyle w:val="000000100000" w:firstRow="0" w:lastRow="0" w:firstColumn="0" w:lastColumn="0" w:oddVBand="0" w:evenVBand="0" w:oddHBand="1" w:evenHBand="0" w:firstRowFirstColumn="0" w:firstRowLastColumn="0" w:lastRowFirstColumn="0" w:lastRowLastColumn="0"/>
        </w:trPr>
        <w:tc>
          <w:tcPr>
            <w:tcW w:w="2517"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color w:val="000000" w:themeColor="text1"/>
                <w:sz w:val="18"/>
                <w:szCs w:val="18"/>
              </w:rPr>
            </w:pPr>
            <w:r>
              <w:rPr>
                <w:rFonts w:ascii="FreeSans" w:hAnsi="FreeSans"/>
                <w:b/>
                <w:bCs/>
                <w:color w:val="000000" w:themeColor="text1"/>
                <w:sz w:val="18"/>
                <w:szCs w:val="18"/>
              </w:rPr>
            </w:r>
          </w:p>
          <w:p>
            <w:pPr>
              <w:pStyle w:val="Normal"/>
              <w:jc w:val="both"/>
              <w:rPr>
                <w:rFonts w:ascii="FreeSans" w:hAnsi="FreeSans"/>
              </w:rPr>
            </w:pPr>
            <w:r>
              <w:rPr>
                <w:rFonts w:ascii="FreeSans" w:hAnsi="FreeSans"/>
                <w:b/>
                <w:bCs/>
                <w:color w:val="000000" w:themeColor="text1"/>
                <w:sz w:val="18"/>
                <w:szCs w:val="18"/>
              </w:rPr>
              <w:t>Number comorbidities</w:t>
            </w:r>
          </w:p>
          <w:p>
            <w:pPr>
              <w:pStyle w:val="Normal"/>
              <w:jc w:val="both"/>
              <w:rPr>
                <w:rFonts w:ascii="FreeSans" w:hAnsi="FreeSans"/>
                <w:b/>
                <w:b/>
                <w:bCs/>
                <w:color w:val="000000" w:themeColor="text1"/>
                <w:sz w:val="18"/>
                <w:szCs w:val="18"/>
              </w:rPr>
            </w:pPr>
            <w:r>
              <w:rPr>
                <w:rFonts w:ascii="FreeSans" w:hAnsi="FreeSans"/>
                <w:b/>
                <w:bCs/>
                <w:color w:val="000000" w:themeColor="text1"/>
                <w:sz w:val="18"/>
                <w:szCs w:val="18"/>
              </w:rPr>
            </w:r>
          </w:p>
        </w:tc>
        <w:tc>
          <w:tcPr>
            <w:tcW w:w="254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0</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&gt;=2</w:t>
            </w:r>
          </w:p>
        </w:tc>
        <w:tc>
          <w:tcPr>
            <w:tcW w:w="196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272 (34.4)</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164 (20.8)</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354 (77.0)</w:t>
            </w:r>
          </w:p>
        </w:tc>
        <w:tc>
          <w:tcPr>
            <w:tcW w:w="2038" w:type="dxa"/>
            <w:tcBorders/>
            <w:shd w:fill="auto"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74 (31.5)</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55 (23.4)</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color w:val="000000" w:themeColor="text1"/>
                <w:sz w:val="18"/>
                <w:szCs w:val="18"/>
              </w:rPr>
              <w:t>106 (45.1)</w:t>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color w:val="000000" w:themeColor="text1"/>
                <w:sz w:val="18"/>
                <w:szCs w:val="18"/>
              </w:rPr>
            </w:pPr>
            <w:r>
              <w:rPr>
                <w:rFonts w:ascii="FreeSans" w:hAnsi="FreeSans"/>
                <w:color w:val="000000" w:themeColor="text1"/>
                <w:sz w:val="18"/>
                <w:szCs w:val="18"/>
              </w:rPr>
            </w:r>
          </w:p>
        </w:tc>
      </w:tr>
    </w:tbl>
    <w:p>
      <w:pPr>
        <w:pStyle w:val="Normal"/>
        <w:spacing w:lineRule="auto" w:line="480" w:before="240" w:after="0"/>
        <w:jc w:val="both"/>
        <w:rPr>
          <w:rFonts w:ascii="FreeSans" w:hAnsi="FreeSans"/>
        </w:rPr>
      </w:pPr>
      <w:r>
        <w:rPr>
          <w:rFonts w:ascii="FreeSans" w:hAnsi="FreeSans"/>
          <w:b/>
          <w:bCs/>
          <w:color w:val="000000" w:themeColor="text1"/>
          <w:sz w:val="16"/>
          <w:szCs w:val="16"/>
        </w:rPr>
        <w:t xml:space="preserve">*Missing data =42 (patients’ residences not listed in Australia), ** Missing data=45 , </w:t>
      </w:r>
    </w:p>
    <w:p>
      <w:pPr>
        <w:pStyle w:val="Heading2"/>
        <w:keepNext w:val="true"/>
        <w:keepLines/>
        <w:widowControl/>
        <w:numPr>
          <w:ilvl w:val="0"/>
          <w:numId w:val="0"/>
        </w:numPr>
        <w:bidi w:val="0"/>
        <w:spacing w:before="183" w:after="0"/>
        <w:jc w:val="left"/>
        <w:outlineLvl w:val="1"/>
        <w:rPr>
          <w:rFonts w:ascii="FreeSans" w:hAnsi="FreeSans" w:eastAsia="" w:cs="" w:cstheme="majorBidi" w:eastAsiaTheme="majorEastAsia"/>
          <w:b/>
          <w:b/>
          <w:color w:val="000000" w:themeShade="bf"/>
          <w:kern w:val="0"/>
          <w:sz w:val="32"/>
          <w:szCs w:val="32"/>
          <w:lang w:val="en-GB" w:eastAsia="zh-CN" w:bidi="ar-SA"/>
        </w:rPr>
      </w:pPr>
      <w:r>
        <w:rPr>
          <w:rFonts w:eastAsia="" w:cs="" w:cstheme="majorBidi" w:eastAsiaTheme="majorEastAsia"/>
          <w:b/>
          <w:color w:val="000000" w:themeShade="bf"/>
          <w:kern w:val="0"/>
          <w:sz w:val="32"/>
          <w:szCs w:val="32"/>
          <w:lang w:val="en-GB" w:eastAsia="zh-CN" w:bidi="ar-SA"/>
        </w:rPr>
        <w:t>Bivariate association of IRSD with patterns of severe injury for hospitalised patients</w:t>
      </w:r>
    </w:p>
    <w:p>
      <w:pPr>
        <w:pStyle w:val="Normal"/>
        <w:spacing w:lineRule="auto" w:line="360" w:before="171" w:after="171"/>
        <w:jc w:val="both"/>
        <w:rPr>
          <w:color w:val="000000" w:themeColor="text1"/>
        </w:rPr>
      </w:pPr>
      <w:r>
        <w:rPr>
          <w:rFonts w:ascii="FreeSans" w:hAnsi="FreeSans"/>
          <w:color w:val="000000" w:themeColor="text1"/>
        </w:rPr>
        <w:t xml:space="preserve">Table 3 shows the association of key injury and geographic variables, with relative socioeconomic disadvantage (IRSD). A total of 983 cases were available for analysis, and additional data were missing for remoteness of residence (0.5%), remoteness of injury location (8%), and State of Injury (4%). </w:t>
      </w:r>
    </w:p>
    <w:p>
      <w:pPr>
        <w:pStyle w:val="Normal"/>
        <w:spacing w:lineRule="auto" w:line="360" w:before="0" w:after="0"/>
        <w:jc w:val="both"/>
        <w:rPr>
          <w:color w:val="000000" w:themeColor="text1"/>
        </w:rPr>
      </w:pPr>
      <w:r>
        <w:rPr>
          <w:rFonts w:ascii="FreeSans" w:hAnsi="FreeSans"/>
          <w:color w:val="000000" w:themeColor="text1"/>
        </w:rPr>
        <w:t xml:space="preserve">There were no statistically significant differences between IRSD category and age group, year of admission and sex. Similarly, quartiles of IRSD did not significantly vary according to both measures of injury severity, however a positive trend for injury severity and disadvantage is apparent. There is also an apparent trend in injury mechanism where injuries that are not transport related, or caused by falls are twice as likely to occur for people in the most disadvantaged group compared to those in the least disadvantaged group. </w:t>
      </w:r>
    </w:p>
    <w:p>
      <w:pPr>
        <w:pStyle w:val="Normal"/>
        <w:spacing w:lineRule="auto" w:line="360" w:before="228" w:after="228"/>
        <w:jc w:val="both"/>
        <w:rPr>
          <w:color w:val="000000" w:themeColor="text1"/>
        </w:rPr>
      </w:pPr>
      <w:r>
        <w:rPr>
          <w:rFonts w:ascii="FreeSans" w:hAnsi="FreeSans"/>
          <w:color w:val="000000" w:themeColor="text1"/>
        </w:rPr>
        <w:t xml:space="preserve">Of those who lived in regional or remote areas, 33% were in the ‘most disadvantaged’ category compared to 9% in the ‘least disadvantaged category’. For those people living in major cities the difference is 21% and 29% respectively (p&lt;0.001). Similar patterns were evident for the geographical location of the injury (p&lt;0.001), and for State of Injury (p&lt;0.001). </w:t>
      </w:r>
    </w:p>
    <w:p>
      <w:pPr>
        <w:pStyle w:val="Normal"/>
        <w:spacing w:lineRule="auto" w:line="360" w:before="240" w:after="0"/>
        <w:jc w:val="both"/>
        <w:rPr>
          <w:color w:val="000000" w:themeColor="text1"/>
        </w:rPr>
      </w:pPr>
      <w:r>
        <w:rPr>
          <w:rFonts w:ascii="FreeSans" w:hAnsi="FreeSans"/>
          <w:color w:val="000000" w:themeColor="text1"/>
        </w:rPr>
        <w:t>There were more comorbidities in people in the ‘most disadvantaged’ category (Median=2, IQR 0-3)) compared to those in other groups with median values of 1 (p=0.01).</w:t>
      </w:r>
    </w:p>
    <w:p>
      <w:pPr>
        <w:pStyle w:val="Normal"/>
        <w:spacing w:lineRule="auto" w:line="360" w:before="240" w:after="0"/>
        <w:jc w:val="both"/>
        <w:rPr/>
      </w:pPr>
      <w:r>
        <w:rPr>
          <w:rFonts w:ascii="FreeSans" w:hAnsi="FreeSans"/>
          <w:color w:val="000000" w:themeColor="text1"/>
        </w:rPr>
        <w:t>There is a significant association trending towards increased disadvantage according to those patients whose first provider was a hospital other than the main Trauma Centre.  For those whose first point of treatment was at a regional hospital (N=197), 27% were in the most disadvantaged category compared to 15% in the least disadvantaged category (p=0.003). This was related to the State of injury, where, of the 239 cases that were injured across the border from the Trauma Centre, (NSW) 133 cases (56%) were managed at one or more referring hospitals prior to arrival at the tertiary trauma centre. This contrasts to those who were injured in Qld where most of the 740 patients (91.4%) were directly managed at the tertiary trauma centre in Qld (p&lt;0.001).</w:t>
      </w:r>
      <w:r>
        <w:br w:type="page"/>
      </w:r>
    </w:p>
    <w:p>
      <w:pPr>
        <w:sectPr>
          <w:footerReference w:type="default" r:id="rId6"/>
          <w:type w:val="nextPage"/>
          <w:pgSz w:w="11906" w:h="16838"/>
          <w:pgMar w:left="1440" w:right="1440" w:header="0" w:top="1440" w:footer="708" w:bottom="1440" w:gutter="0"/>
          <w:pgNumType w:fmt="decimal"/>
          <w:formProt w:val="false"/>
          <w:textDirection w:val="lrTb"/>
          <w:docGrid w:type="default" w:linePitch="360" w:charSpace="0"/>
        </w:sectPr>
        <w:pStyle w:val="Normal"/>
        <w:widowControl/>
        <w:numPr>
          <w:ilvl w:val="0"/>
          <w:numId w:val="0"/>
        </w:numPr>
        <w:bidi w:val="0"/>
        <w:spacing w:lineRule="auto" w:line="360"/>
        <w:jc w:val="left"/>
        <w:outlineLvl w:val="1"/>
        <w:rPr/>
      </w:pPr>
      <w:r>
        <w:rPr/>
      </w:r>
    </w:p>
    <w:p>
      <w:pPr>
        <w:pStyle w:val="Normal"/>
        <w:jc w:val="both"/>
        <w:rPr>
          <w:rFonts w:ascii="FreeSans" w:hAnsi="FreeSans"/>
        </w:rPr>
      </w:pPr>
      <w:r>
        <w:rPr>
          <w:rFonts w:ascii="FreeSans" w:hAnsi="FreeSans"/>
          <w:b/>
          <w:color w:val="000000" w:themeColor="text1"/>
        </w:rPr>
        <w:t>Table 3: Association of relative socioeconomic disadvantage with injury patterns</w:t>
      </w:r>
    </w:p>
    <w:p>
      <w:pPr>
        <w:pStyle w:val="Normal"/>
        <w:jc w:val="both"/>
        <w:rPr>
          <w:rFonts w:ascii="FreeSans" w:hAnsi="FreeSans"/>
          <w:color w:val="000000" w:themeColor="text1"/>
        </w:rPr>
      </w:pPr>
      <w:r>
        <w:rPr>
          <w:rFonts w:ascii="FreeSans" w:hAnsi="FreeSans"/>
          <w:color w:val="000000" w:themeColor="text1"/>
        </w:rPr>
      </w:r>
    </w:p>
    <w:tbl>
      <w:tblPr>
        <w:tblStyle w:val="PlainTable11"/>
        <w:tblW w:w="13603" w:type="dxa"/>
        <w:jc w:val="left"/>
        <w:tblInd w:w="-113" w:type="dxa"/>
        <w:tblCellMar>
          <w:top w:w="0" w:type="dxa"/>
          <w:left w:w="108" w:type="dxa"/>
          <w:bottom w:w="0" w:type="dxa"/>
          <w:right w:w="108" w:type="dxa"/>
        </w:tblCellMar>
        <w:tblLook w:noVBand="1" w:val="04a0" w:noHBand="0" w:lastColumn="0" w:firstColumn="1" w:lastRow="0" w:firstRow="1"/>
      </w:tblPr>
      <w:tblGrid>
        <w:gridCol w:w="1843"/>
        <w:gridCol w:w="2269"/>
        <w:gridCol w:w="1700"/>
        <w:gridCol w:w="41"/>
        <w:gridCol w:w="1519"/>
        <w:gridCol w:w="11"/>
        <w:gridCol w:w="1264"/>
        <w:gridCol w:w="12"/>
        <w:gridCol w:w="1543"/>
        <w:gridCol w:w="1"/>
        <w:gridCol w:w="1699"/>
        <w:gridCol w:w="1"/>
        <w:gridCol w:w="1698"/>
      </w:tblGrid>
      <w:tr>
        <w:trPr>
          <w:cnfStyle w:val="100000000000" w:firstRow="1" w:lastRow="0" w:firstColumn="0" w:lastColumn="0" w:oddVBand="0" w:evenVBand="0" w:oddHBand="0"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sz w:val="18"/>
                <w:szCs w:val="18"/>
              </w:rPr>
            </w:pPr>
            <w:r>
              <w:rPr>
                <w:rFonts w:ascii="FreeSans" w:hAnsi="FreeSans"/>
                <w:b/>
                <w:bCs/>
                <w:sz w:val="18"/>
                <w:szCs w:val="18"/>
              </w:rPr>
            </w:r>
          </w:p>
        </w:tc>
        <w:tc>
          <w:tcPr>
            <w:tcW w:w="2269"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sz w:val="18"/>
                <w:szCs w:val="18"/>
              </w:rPr>
            </w:pPr>
            <w:r>
              <w:rPr>
                <w:rFonts w:ascii="FreeSans" w:hAnsi="FreeSans"/>
                <w:b/>
                <w:bCs/>
                <w:sz w:val="18"/>
                <w:szCs w:val="18"/>
              </w:rPr>
            </w:r>
          </w:p>
        </w:tc>
        <w:tc>
          <w:tcPr>
            <w:tcW w:w="6091" w:type="dxa"/>
            <w:gridSpan w:val="8"/>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sz w:val="18"/>
                <w:szCs w:val="18"/>
              </w:rPr>
              <w:t>Quartiles of socioeconomic disadvantage</w:t>
            </w:r>
          </w:p>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sz w:val="18"/>
                <w:szCs w:val="18"/>
              </w:rPr>
            </w:pPr>
            <w:r>
              <w:rPr>
                <w:rFonts w:ascii="FreeSans" w:hAnsi="FreeSans"/>
                <w:b/>
                <w:bCs/>
                <w:sz w:val="18"/>
                <w:szCs w:val="18"/>
              </w:rPr>
            </w:r>
          </w:p>
        </w:tc>
        <w:tc>
          <w:tcPr>
            <w:tcW w:w="1700" w:type="dxa"/>
            <w:gridSpan w:val="2"/>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sz w:val="18"/>
                <w:szCs w:val="18"/>
              </w:rPr>
            </w:pPr>
            <w:r>
              <w:rPr>
                <w:rFonts w:ascii="FreeSans" w:hAnsi="FreeSans"/>
                <w:b/>
                <w:bCs/>
                <w:sz w:val="18"/>
                <w:szCs w:val="18"/>
              </w:rPr>
            </w:r>
          </w:p>
        </w:tc>
        <w:tc>
          <w:tcPr>
            <w:tcW w:w="1698"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sz w:val="18"/>
                <w:szCs w:val="18"/>
              </w:rPr>
            </w:pPr>
            <w:r>
              <w:rPr>
                <w:rFonts w:ascii="FreeSans" w:hAnsi="FreeSans"/>
                <w:b/>
                <w:bCs/>
                <w:sz w:val="18"/>
                <w:szCs w:val="18"/>
              </w:rPr>
            </w:r>
          </w:p>
        </w:tc>
      </w:tr>
      <w:tr>
        <w:trPr>
          <w:trHeight w:val="1114"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b/>
                <w:b/>
                <w:bCs/>
                <w:sz w:val="18"/>
                <w:szCs w:val="18"/>
              </w:rPr>
            </w:pPr>
            <w:r>
              <w:rPr>
                <w:rFonts w:ascii="FreeSans" w:hAnsi="FreeSans"/>
                <w:b/>
                <w:bCs/>
                <w:sz w:val="18"/>
                <w:szCs w:val="18"/>
              </w:rPr>
            </w:r>
          </w:p>
          <w:p>
            <w:pPr>
              <w:pStyle w:val="Normal"/>
              <w:jc w:val="both"/>
              <w:rPr>
                <w:rFonts w:ascii="FreeSans" w:hAnsi="FreeSans"/>
              </w:rPr>
            </w:pPr>
            <w:r>
              <w:rPr>
                <w:rFonts w:ascii="FreeSans" w:hAnsi="FreeSans"/>
                <w:b/>
                <w:bCs/>
                <w:sz w:val="18"/>
                <w:szCs w:val="18"/>
              </w:rPr>
              <w:t>Variables</w:t>
            </w:r>
          </w:p>
        </w:tc>
        <w:tc>
          <w:tcPr>
            <w:tcW w:w="2269" w:type="dxa"/>
            <w:tcBorders/>
            <w:shd w:color="auto" w:fill="F2F2F2" w:themeFill="background1" w:themeFillShade="f2" w:val="clear"/>
          </w:tcPr>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both"/>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700"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1</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Most disadvantaged</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N (%)</w:t>
            </w:r>
          </w:p>
        </w:tc>
        <w:tc>
          <w:tcPr>
            <w:tcW w:w="156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N (%)</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275"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N (%)</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tc>
        <w:tc>
          <w:tcPr>
            <w:tcW w:w="1555"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Least disadvantaged</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N (%)</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tc>
        <w:tc>
          <w:tcPr>
            <w:tcW w:w="170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eastAsia="Symbol" w:cs="Symbol" w:ascii="FreeSans" w:hAnsi="FreeSans"/>
                <w:b/>
                <w:sz w:val="18"/>
                <w:szCs w:val="18"/>
              </w:rPr>
              <w:t></w:t>
            </w:r>
            <w:r>
              <w:rPr>
                <w:rFonts w:ascii="FreeSans" w:hAnsi="FreeSans"/>
                <w:b/>
                <w:sz w:val="18"/>
                <w:szCs w:val="18"/>
                <w:vertAlign w:val="superscript"/>
              </w:rPr>
              <w:t>2</w:t>
            </w:r>
          </w:p>
        </w:tc>
        <w:tc>
          <w:tcPr>
            <w:tcW w:w="1699"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P</w:t>
            </w:r>
          </w:p>
        </w:tc>
      </w:tr>
      <w:tr>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sz w:val="18"/>
                <w:szCs w:val="18"/>
              </w:rPr>
              <w:t>Age Group</w:t>
            </w:r>
          </w:p>
        </w:tc>
        <w:tc>
          <w:tcPr>
            <w:tcW w:w="2269"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16-44 (480)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45-64 (311)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65-74 (100)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75+ (92)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119 (49.0)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78 (32.1)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26 (10.7)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 (8.2)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128 (52.2)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74 (30.2)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23 (9.4)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 (8.2)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131 (52.8)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73 (29.4)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19 (7.7)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25 (10.1)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102 (41.3)</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86 (34.8)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32 (13.00)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27 (10.9)</w:t>
            </w:r>
          </w:p>
        </w:tc>
        <w:tc>
          <w:tcPr>
            <w:tcW w:w="1700" w:type="dxa"/>
            <w:gridSpan w:val="2"/>
            <w:tcBorders/>
            <w:shd w:fill="auto" w:val="clear"/>
          </w:tcPr>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10.74</w:t>
            </w:r>
          </w:p>
        </w:tc>
        <w:tc>
          <w:tcPr>
            <w:tcW w:w="1698" w:type="dxa"/>
            <w:tcBorders/>
            <w:shd w:fill="auto" w:val="clear"/>
          </w:tcPr>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0.29</w:t>
            </w:r>
          </w:p>
        </w:tc>
      </w:tr>
      <w:tr>
        <w:trPr>
          <w:trHeight w:val="863"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b/>
                <w:b/>
                <w:bCs/>
                <w:sz w:val="18"/>
                <w:szCs w:val="18"/>
              </w:rPr>
            </w:pPr>
            <w:r>
              <w:rPr>
                <w:rFonts w:ascii="FreeSans" w:hAnsi="FreeSans"/>
                <w:b/>
                <w:bCs/>
                <w:sz w:val="18"/>
                <w:szCs w:val="18"/>
              </w:rPr>
            </w:r>
          </w:p>
          <w:p>
            <w:pPr>
              <w:pStyle w:val="Normal"/>
              <w:jc w:val="both"/>
              <w:rPr>
                <w:rFonts w:ascii="FreeSans" w:hAnsi="FreeSans"/>
              </w:rPr>
            </w:pPr>
            <w:r>
              <w:rPr>
                <w:rFonts w:ascii="FreeSans" w:hAnsi="FreeSans"/>
                <w:b/>
                <w:bCs/>
                <w:sz w:val="18"/>
                <w:szCs w:val="18"/>
              </w:rPr>
              <w:t>Sex  N (%)</w:t>
            </w:r>
          </w:p>
        </w:tc>
        <w:tc>
          <w:tcPr>
            <w:tcW w:w="2269"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Male (760)</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Female (223)</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193 (79.4)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50 (20.6)</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192 (78.4)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53 (21.6)</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188 (75.8)</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60 (24.2)</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187 (75.7)</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60 (24.3)</w:t>
            </w:r>
          </w:p>
        </w:tc>
        <w:tc>
          <w:tcPr>
            <w:tcW w:w="170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1.46</w:t>
            </w:r>
          </w:p>
        </w:tc>
        <w:tc>
          <w:tcPr>
            <w:tcW w:w="1698"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0.692</w:t>
            </w:r>
          </w:p>
        </w:tc>
      </w:tr>
      <w:tr>
        <w:trPr>
          <w:trHeight w:val="1090" w:hRule="atLeast"/>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sz w:val="18"/>
                <w:szCs w:val="18"/>
              </w:rPr>
              <w:t>Year of admission</w:t>
            </w:r>
          </w:p>
          <w:p>
            <w:pPr>
              <w:pStyle w:val="Normal"/>
              <w:jc w:val="both"/>
              <w:rPr>
                <w:rFonts w:ascii="FreeSans" w:hAnsi="FreeSans"/>
                <w:b/>
                <w:b/>
                <w:bCs/>
                <w:sz w:val="18"/>
                <w:szCs w:val="18"/>
              </w:rPr>
            </w:pPr>
            <w:r>
              <w:rPr>
                <w:rFonts w:ascii="FreeSans" w:hAnsi="FreeSans"/>
                <w:b/>
                <w:bCs/>
                <w:sz w:val="18"/>
                <w:szCs w:val="18"/>
              </w:rPr>
            </w:r>
          </w:p>
        </w:tc>
        <w:tc>
          <w:tcPr>
            <w:tcW w:w="2269"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2014 (208)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2015 (243)</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2016 (283)</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2017 (249)</w:t>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52 (21.4)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61 (25.1)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69 (28.4)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69 (25.1)</w:t>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48 (19.6)</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65 (26.5)</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62 (25.3)</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70 (28.6)</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58 (23.4)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61 (24.6)</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74 (29.8)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55 (22.2)</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50 (20.2)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56 (22.7)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78 (31.6)</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63 (25.5)</w:t>
            </w:r>
          </w:p>
        </w:tc>
        <w:tc>
          <w:tcPr>
            <w:tcW w:w="1700" w:type="dxa"/>
            <w:gridSpan w:val="2"/>
            <w:tcBorders/>
            <w:shd w:fill="auto" w:val="clear"/>
          </w:tcPr>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5.54</w:t>
            </w:r>
          </w:p>
        </w:tc>
        <w:tc>
          <w:tcPr>
            <w:tcW w:w="1698" w:type="dxa"/>
            <w:tcBorders/>
            <w:shd w:fill="auto" w:val="clear"/>
          </w:tcPr>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0.78</w:t>
            </w:r>
          </w:p>
        </w:tc>
      </w:tr>
      <w:tr>
        <w:trPr>
          <w:trHeight w:val="846"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rPr>
            </w:pPr>
            <w:r>
              <w:rPr>
                <w:rFonts w:ascii="FreeSans" w:hAnsi="FreeSans"/>
                <w:b/>
                <w:bCs/>
                <w:sz w:val="18"/>
                <w:szCs w:val="18"/>
              </w:rPr>
              <w:t>Remoteness (residence)</w:t>
            </w:r>
          </w:p>
          <w:p>
            <w:pPr>
              <w:pStyle w:val="Normal"/>
              <w:jc w:val="both"/>
              <w:rPr>
                <w:rFonts w:ascii="FreeSans" w:hAnsi="FreeSans"/>
                <w:b/>
                <w:b/>
                <w:bCs/>
                <w:sz w:val="18"/>
                <w:szCs w:val="18"/>
              </w:rPr>
            </w:pPr>
            <w:r>
              <w:rPr>
                <w:rFonts w:ascii="FreeSans" w:hAnsi="FreeSans"/>
                <w:b/>
                <w:bCs/>
                <w:sz w:val="18"/>
                <w:szCs w:val="18"/>
              </w:rPr>
            </w:r>
          </w:p>
        </w:tc>
        <w:tc>
          <w:tcPr>
            <w:tcW w:w="2269"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Major Cities (763)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Regional/Remote (216)</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162 (66.9)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80 (33.1)</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184 (75.1)</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61 (24.9)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193 (78.8)</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52 (21.2)</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224 (90.7)</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29.4 (9.3)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700" w:type="dxa"/>
            <w:gridSpan w:val="2"/>
            <w:tcBorders/>
            <w:shd w:color="auto" w:fill="F2F2F2" w:themeFill="background1" w:themeFillShade="f2" w:val="clear"/>
          </w:tcPr>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41.61</w:t>
            </w:r>
          </w:p>
        </w:tc>
        <w:tc>
          <w:tcPr>
            <w:tcW w:w="1698" w:type="dxa"/>
            <w:tcBorders/>
            <w:shd w:color="auto" w:fill="F2F2F2" w:themeFill="background1" w:themeFillShade="f2" w:val="clear"/>
          </w:tcPr>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&lt;0.001</w:t>
            </w:r>
          </w:p>
        </w:tc>
      </w:tr>
      <w:tr>
        <w:trPr>
          <w:trHeight w:val="846" w:hRule="atLeast"/>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sz w:val="18"/>
                <w:szCs w:val="18"/>
              </w:rPr>
              <w:t>State of injury event</w:t>
            </w:r>
          </w:p>
        </w:tc>
        <w:tc>
          <w:tcPr>
            <w:tcW w:w="2269"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Tertiary Trauma Care (720)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Northern NSW (220)</w:t>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157 (62.6)</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88 (37.4)</w:t>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170 (73.0)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63 (27.0)</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201 (85.5)</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34 (14.5)</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202 (85.2)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35 (14.8)</w:t>
            </w:r>
          </w:p>
        </w:tc>
        <w:tc>
          <w:tcPr>
            <w:tcW w:w="1700" w:type="dxa"/>
            <w:gridSpan w:val="2"/>
            <w:tcBorders/>
            <w:shd w:fill="auto" w:val="clear"/>
          </w:tcPr>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47.89</w:t>
            </w:r>
          </w:p>
        </w:tc>
        <w:tc>
          <w:tcPr>
            <w:tcW w:w="1698" w:type="dxa"/>
            <w:tcBorders/>
            <w:shd w:fill="auto" w:val="clear"/>
          </w:tcPr>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&lt;0.001</w:t>
            </w:r>
          </w:p>
        </w:tc>
      </w:tr>
      <w:tr>
        <w:trPr>
          <w:trHeight w:val="846"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rPr>
            </w:pPr>
            <w:r>
              <w:rPr>
                <w:rFonts w:ascii="FreeSans" w:hAnsi="FreeSans"/>
                <w:b/>
                <w:bCs/>
                <w:sz w:val="18"/>
                <w:szCs w:val="18"/>
              </w:rPr>
              <w:t>Remoteness</w:t>
            </w:r>
          </w:p>
          <w:p>
            <w:pPr>
              <w:pStyle w:val="Normal"/>
              <w:jc w:val="both"/>
              <w:rPr>
                <w:rFonts w:ascii="FreeSans" w:hAnsi="FreeSans"/>
              </w:rPr>
            </w:pPr>
            <w:r>
              <w:rPr>
                <w:rFonts w:ascii="FreeSans" w:hAnsi="FreeSans"/>
                <w:b/>
                <w:bCs/>
                <w:sz w:val="18"/>
                <w:szCs w:val="18"/>
              </w:rPr>
              <w:t>(Injury location)</w:t>
            </w:r>
          </w:p>
          <w:p>
            <w:pPr>
              <w:pStyle w:val="Normal"/>
              <w:jc w:val="both"/>
              <w:rPr>
                <w:rFonts w:ascii="FreeSans" w:hAnsi="FreeSans"/>
                <w:b/>
                <w:b/>
                <w:bCs/>
                <w:sz w:val="18"/>
                <w:szCs w:val="18"/>
              </w:rPr>
            </w:pPr>
            <w:r>
              <w:rPr>
                <w:rFonts w:ascii="FreeSans" w:hAnsi="FreeSans"/>
                <w:b/>
                <w:bCs/>
                <w:sz w:val="18"/>
                <w:szCs w:val="18"/>
              </w:rPr>
            </w:r>
          </w:p>
        </w:tc>
        <w:tc>
          <w:tcPr>
            <w:tcW w:w="2269"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Major Cities (675)</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Regional/Remote (232)</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148 (64.3)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82 (35.7)</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167 (74.2)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58 (25.8)</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177 (77.6)</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51 (22.4)</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183 (81.7)</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41 (18.3)</w:t>
            </w:r>
          </w:p>
        </w:tc>
        <w:tc>
          <w:tcPr>
            <w:tcW w:w="1700" w:type="dxa"/>
            <w:gridSpan w:val="2"/>
            <w:tcBorders/>
            <w:shd w:color="auto" w:fill="F2F2F2" w:themeFill="background1" w:themeFillShade="f2" w:val="clear"/>
          </w:tcPr>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19.73</w:t>
            </w:r>
          </w:p>
        </w:tc>
        <w:tc>
          <w:tcPr>
            <w:tcW w:w="1698" w:type="dxa"/>
            <w:tcBorders/>
            <w:shd w:color="auto" w:fill="F2F2F2" w:themeFill="background1" w:themeFillShade="f2" w:val="clear"/>
          </w:tcPr>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&lt;0.001</w:t>
            </w:r>
          </w:p>
        </w:tc>
      </w:tr>
      <w:tr>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sz w:val="18"/>
                <w:szCs w:val="18"/>
              </w:rPr>
              <w:t xml:space="preserve">ISS </w:t>
            </w:r>
          </w:p>
          <w:p>
            <w:pPr>
              <w:pStyle w:val="Normal"/>
              <w:jc w:val="both"/>
              <w:rPr>
                <w:rFonts w:ascii="FreeSans" w:hAnsi="FreeSans"/>
              </w:rPr>
            </w:pPr>
            <w:r>
              <w:rPr>
                <w:rFonts w:ascii="FreeSans" w:hAnsi="FreeSans"/>
                <w:b/>
                <w:bCs/>
                <w:sz w:val="18"/>
                <w:szCs w:val="18"/>
              </w:rPr>
              <w:t>(Median, IQR)</w:t>
            </w:r>
          </w:p>
          <w:p>
            <w:pPr>
              <w:pStyle w:val="Normal"/>
              <w:jc w:val="both"/>
              <w:rPr>
                <w:rFonts w:ascii="FreeSans" w:hAnsi="FreeSans"/>
              </w:rPr>
            </w:pPr>
            <w:r>
              <w:rPr>
                <w:rFonts w:ascii="FreeSans" w:hAnsi="FreeSans"/>
                <w:b/>
                <w:bCs/>
                <w:sz w:val="18"/>
                <w:szCs w:val="18"/>
              </w:rPr>
              <w:t>N=983</w:t>
            </w:r>
          </w:p>
          <w:p>
            <w:pPr>
              <w:pStyle w:val="Normal"/>
              <w:jc w:val="both"/>
              <w:rPr>
                <w:rFonts w:ascii="FreeSans" w:hAnsi="FreeSans"/>
                <w:b/>
                <w:b/>
                <w:bCs/>
                <w:sz w:val="18"/>
                <w:szCs w:val="18"/>
              </w:rPr>
            </w:pPr>
            <w:r>
              <w:rPr>
                <w:rFonts w:ascii="FreeSans" w:hAnsi="FreeSans"/>
                <w:b/>
                <w:bCs/>
                <w:sz w:val="18"/>
                <w:szCs w:val="18"/>
              </w:rPr>
            </w:r>
          </w:p>
          <w:p>
            <w:pPr>
              <w:pStyle w:val="Normal"/>
              <w:jc w:val="both"/>
              <w:rPr>
                <w:rFonts w:ascii="FreeSans" w:hAnsi="FreeSans"/>
                <w:b/>
                <w:b/>
                <w:bCs/>
                <w:sz w:val="18"/>
                <w:szCs w:val="18"/>
              </w:rPr>
            </w:pPr>
            <w:r>
              <w:rPr>
                <w:rFonts w:ascii="FreeSans" w:hAnsi="FreeSans"/>
                <w:b/>
                <w:bCs/>
                <w:sz w:val="18"/>
                <w:szCs w:val="18"/>
              </w:rPr>
            </w:r>
          </w:p>
        </w:tc>
        <w:tc>
          <w:tcPr>
            <w:tcW w:w="2269"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25.00 (17, 41.2)</w:t>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22 (17,29)</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22 (17, 34)</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22 (17,29)</w:t>
            </w:r>
          </w:p>
        </w:tc>
        <w:tc>
          <w:tcPr>
            <w:tcW w:w="170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ind w:left="720" w:hanging="0"/>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3.096*</w:t>
            </w:r>
          </w:p>
        </w:tc>
        <w:tc>
          <w:tcPr>
            <w:tcW w:w="1698"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0.38</w:t>
            </w:r>
          </w:p>
        </w:tc>
      </w:tr>
      <w:tr>
        <w:trPr>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rPr>
            </w:pPr>
            <w:r>
              <w:rPr>
                <w:rFonts w:ascii="FreeSans" w:hAnsi="FreeSans"/>
                <w:b/>
                <w:bCs/>
                <w:sz w:val="18"/>
                <w:szCs w:val="18"/>
              </w:rPr>
              <w:t>NISS</w:t>
            </w:r>
          </w:p>
          <w:p>
            <w:pPr>
              <w:pStyle w:val="Normal"/>
              <w:jc w:val="both"/>
              <w:rPr>
                <w:rFonts w:ascii="FreeSans" w:hAnsi="FreeSans"/>
              </w:rPr>
            </w:pPr>
            <w:r>
              <w:rPr>
                <w:rFonts w:ascii="FreeSans" w:hAnsi="FreeSans"/>
                <w:b/>
                <w:bCs/>
                <w:sz w:val="18"/>
                <w:szCs w:val="18"/>
              </w:rPr>
              <w:t>(Median, IQR)</w:t>
            </w:r>
          </w:p>
          <w:p>
            <w:pPr>
              <w:pStyle w:val="Normal"/>
              <w:jc w:val="both"/>
              <w:rPr>
                <w:rFonts w:ascii="FreeSans" w:hAnsi="FreeSans"/>
              </w:rPr>
            </w:pPr>
            <w:r>
              <w:rPr>
                <w:rFonts w:ascii="FreeSans" w:hAnsi="FreeSans"/>
                <w:b/>
                <w:bCs/>
                <w:sz w:val="18"/>
                <w:szCs w:val="18"/>
              </w:rPr>
              <w:t>N=983</w:t>
            </w:r>
          </w:p>
          <w:p>
            <w:pPr>
              <w:pStyle w:val="Normal"/>
              <w:jc w:val="both"/>
              <w:rPr>
                <w:rFonts w:ascii="FreeSans" w:hAnsi="FreeSans"/>
                <w:b/>
                <w:b/>
                <w:bCs/>
                <w:sz w:val="18"/>
                <w:szCs w:val="18"/>
              </w:rPr>
            </w:pPr>
            <w:r>
              <w:rPr>
                <w:rFonts w:ascii="FreeSans" w:hAnsi="FreeSans"/>
                <w:b/>
                <w:bCs/>
                <w:sz w:val="18"/>
                <w:szCs w:val="18"/>
              </w:rPr>
            </w:r>
          </w:p>
        </w:tc>
        <w:tc>
          <w:tcPr>
            <w:tcW w:w="2269"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27 (17,41.5)</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22 (17,29)</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22 (17, 34)</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22 (17,29)</w:t>
            </w:r>
          </w:p>
        </w:tc>
        <w:tc>
          <w:tcPr>
            <w:tcW w:w="170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5.02*</w:t>
            </w:r>
          </w:p>
        </w:tc>
        <w:tc>
          <w:tcPr>
            <w:tcW w:w="1698"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0.17</w:t>
            </w:r>
          </w:p>
        </w:tc>
      </w:tr>
      <w:tr>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val="false"/>
                <w:sz w:val="18"/>
                <w:szCs w:val="18"/>
              </w:rPr>
              <w:t>Injury Region</w:t>
            </w:r>
          </w:p>
          <w:p>
            <w:pPr>
              <w:pStyle w:val="Normal"/>
              <w:jc w:val="both"/>
              <w:rPr>
                <w:rFonts w:ascii="FreeSans" w:hAnsi="FreeSans"/>
                <w:b/>
                <w:b/>
                <w:bCs w:val="false"/>
                <w:sz w:val="18"/>
                <w:szCs w:val="18"/>
              </w:rPr>
            </w:pPr>
            <w:r>
              <w:rPr>
                <w:rFonts w:ascii="FreeSans" w:hAnsi="FreeSans"/>
                <w:b/>
                <w:bCs w:val="false"/>
                <w:sz w:val="18"/>
                <w:szCs w:val="18"/>
              </w:rPr>
            </w:r>
          </w:p>
        </w:tc>
        <w:tc>
          <w:tcPr>
            <w:tcW w:w="2269" w:type="dxa"/>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700" w:type="dxa"/>
            <w:gridSpan w:val="2"/>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698"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r>
      <w:tr>
        <w:trPr>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rPr>
            </w:pPr>
            <w:r>
              <w:rPr>
                <w:rFonts w:ascii="FreeSans" w:hAnsi="FreeSans"/>
                <w:b w:val="false"/>
                <w:bCs w:val="false"/>
                <w:sz w:val="18"/>
                <w:szCs w:val="18"/>
              </w:rPr>
              <w:t>Head</w:t>
            </w:r>
          </w:p>
          <w:p>
            <w:pPr>
              <w:pStyle w:val="Normal"/>
              <w:jc w:val="both"/>
              <w:rPr>
                <w:rFonts w:ascii="FreeSans" w:hAnsi="FreeSans"/>
                <w:sz w:val="18"/>
                <w:szCs w:val="18"/>
              </w:rPr>
            </w:pPr>
            <w:r>
              <w:rPr>
                <w:rFonts w:ascii="FreeSans" w:hAnsi="FreeSans"/>
                <w:sz w:val="18"/>
                <w:szCs w:val="18"/>
              </w:rPr>
            </w:r>
          </w:p>
          <w:p>
            <w:pPr>
              <w:pStyle w:val="Normal"/>
              <w:jc w:val="both"/>
              <w:rPr>
                <w:rFonts w:ascii="FreeSans" w:hAnsi="FreeSans"/>
                <w:sz w:val="18"/>
                <w:szCs w:val="18"/>
              </w:rPr>
            </w:pPr>
            <w:r>
              <w:rPr>
                <w:rFonts w:ascii="FreeSans" w:hAnsi="FreeSans"/>
                <w:sz w:val="18"/>
                <w:szCs w:val="18"/>
              </w:rPr>
            </w:r>
          </w:p>
        </w:tc>
        <w:tc>
          <w:tcPr>
            <w:tcW w:w="2269" w:type="dxa"/>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Yes</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No</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120 (49)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123 (50.6)</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141 (57.6)</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104 (42.4)</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122 (49.2)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126 (50.8)</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123 (49.8)</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124 (50.2)</w:t>
            </w:r>
          </w:p>
        </w:tc>
        <w:tc>
          <w:tcPr>
            <w:tcW w:w="1700" w:type="dxa"/>
            <w:gridSpan w:val="2"/>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4.84</w:t>
            </w:r>
          </w:p>
        </w:tc>
        <w:tc>
          <w:tcPr>
            <w:tcW w:w="1698"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0.18</w:t>
            </w:r>
          </w:p>
        </w:tc>
      </w:tr>
      <w:tr>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val="false"/>
                <w:bCs w:val="false"/>
                <w:sz w:val="18"/>
                <w:szCs w:val="18"/>
              </w:rPr>
              <w:t>Face</w:t>
            </w:r>
          </w:p>
        </w:tc>
        <w:tc>
          <w:tcPr>
            <w:tcW w:w="2269" w:type="dxa"/>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Yes</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No</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60 (24.7)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183 (75.3)</w:t>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52 (21.2)</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193 (78.8)</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48 (19.4)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200 (80.6)</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53 (21.5)</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194 (78.5)</w:t>
            </w:r>
          </w:p>
        </w:tc>
        <w:tc>
          <w:tcPr>
            <w:tcW w:w="1700" w:type="dxa"/>
            <w:gridSpan w:val="2"/>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2.13</w:t>
            </w:r>
          </w:p>
        </w:tc>
        <w:tc>
          <w:tcPr>
            <w:tcW w:w="1698"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0.55</w:t>
            </w:r>
          </w:p>
        </w:tc>
      </w:tr>
      <w:tr>
        <w:trPr>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rPr>
            </w:pPr>
            <w:r>
              <w:rPr>
                <w:rFonts w:ascii="FreeSans" w:hAnsi="FreeSans"/>
                <w:b w:val="false"/>
                <w:bCs w:val="false"/>
                <w:sz w:val="18"/>
                <w:szCs w:val="18"/>
              </w:rPr>
              <w:t>Chest</w:t>
            </w:r>
          </w:p>
        </w:tc>
        <w:tc>
          <w:tcPr>
            <w:tcW w:w="2269" w:type="dxa"/>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Yes</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No</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167 (68.7)</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76 (31.3)</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171 (69.8)</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74 (30.2)</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172 (69.4)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76 (30.6)</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175 (70.9)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72 (29.1)</w:t>
            </w:r>
          </w:p>
        </w:tc>
        <w:tc>
          <w:tcPr>
            <w:tcW w:w="170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0.279</w:t>
            </w:r>
          </w:p>
        </w:tc>
        <w:tc>
          <w:tcPr>
            <w:tcW w:w="1698"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0.97</w:t>
            </w:r>
          </w:p>
        </w:tc>
      </w:tr>
      <w:tr>
        <w:trPr>
          <w:trHeight w:val="322" w:hRule="atLeast"/>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val="false"/>
                <w:bCs w:val="false"/>
                <w:sz w:val="18"/>
                <w:szCs w:val="18"/>
              </w:rPr>
              <w:t>Abdomen</w:t>
            </w:r>
          </w:p>
          <w:p>
            <w:pPr>
              <w:pStyle w:val="Normal"/>
              <w:jc w:val="both"/>
              <w:rPr>
                <w:rFonts w:ascii="FreeSans" w:hAnsi="FreeSans"/>
                <w:sz w:val="18"/>
                <w:szCs w:val="18"/>
              </w:rPr>
            </w:pPr>
            <w:r>
              <w:rPr>
                <w:rFonts w:ascii="FreeSans" w:hAnsi="FreeSans"/>
                <w:sz w:val="18"/>
                <w:szCs w:val="18"/>
              </w:rPr>
            </w:r>
          </w:p>
        </w:tc>
        <w:tc>
          <w:tcPr>
            <w:tcW w:w="2269" w:type="dxa"/>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Yes</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No</w:t>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78 (32.1)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165 (67.9)</w:t>
            </w:r>
          </w:p>
        </w:tc>
        <w:tc>
          <w:tcPr>
            <w:tcW w:w="1530" w:type="dxa"/>
            <w:gridSpan w:val="2"/>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85 (34.7)</w:t>
            </w:r>
          </w:p>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160 (65.3)</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89 (35.9)</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159 (64.1)</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103 (41.7)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144 (58.3)</w:t>
            </w:r>
          </w:p>
        </w:tc>
        <w:tc>
          <w:tcPr>
            <w:tcW w:w="1700" w:type="dxa"/>
            <w:gridSpan w:val="2"/>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5.26</w:t>
            </w:r>
          </w:p>
        </w:tc>
        <w:tc>
          <w:tcPr>
            <w:tcW w:w="1698" w:type="dxa"/>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0.15</w:t>
            </w:r>
          </w:p>
        </w:tc>
      </w:tr>
      <w:tr>
        <w:trPr>
          <w:trHeight w:val="527"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rPr>
            </w:pPr>
            <w:r>
              <w:rPr>
                <w:rFonts w:ascii="FreeSans" w:hAnsi="FreeSans"/>
                <w:b w:val="false"/>
                <w:bCs w:val="false"/>
                <w:sz w:val="18"/>
                <w:szCs w:val="18"/>
              </w:rPr>
              <w:t>External</w:t>
            </w:r>
          </w:p>
        </w:tc>
        <w:tc>
          <w:tcPr>
            <w:tcW w:w="2269" w:type="dxa"/>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Yes</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No</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213 (87.7)</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30 (12.3)</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203 (82.9)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42 (17.1)</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208 (83.9)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40 (16.1)</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200 (81.0)</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47 (19.0)</w:t>
            </w:r>
          </w:p>
        </w:tc>
        <w:tc>
          <w:tcPr>
            <w:tcW w:w="1700" w:type="dxa"/>
            <w:gridSpan w:val="2"/>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4.28</w:t>
            </w:r>
          </w:p>
        </w:tc>
        <w:tc>
          <w:tcPr>
            <w:tcW w:w="1698" w:type="dxa"/>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0.23</w:t>
            </w:r>
          </w:p>
        </w:tc>
      </w:tr>
      <w:tr>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val="false"/>
                <w:bCs w:val="false"/>
                <w:sz w:val="18"/>
                <w:szCs w:val="18"/>
              </w:rPr>
              <w:t>Extremity</w:t>
            </w:r>
          </w:p>
        </w:tc>
        <w:tc>
          <w:tcPr>
            <w:tcW w:w="2269" w:type="dxa"/>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Yes</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No</w:t>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151 (62.1)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92 (37.9)</w:t>
            </w:r>
          </w:p>
        </w:tc>
        <w:tc>
          <w:tcPr>
            <w:tcW w:w="1530" w:type="dxa"/>
            <w:gridSpan w:val="2"/>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141 (57.6)</w:t>
            </w:r>
          </w:p>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104 (42.4)</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151 (60.9)</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97 (39.1)</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160 (64.8)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87 (35.2)</w:t>
            </w:r>
          </w:p>
        </w:tc>
        <w:tc>
          <w:tcPr>
            <w:tcW w:w="1700" w:type="dxa"/>
            <w:gridSpan w:val="2"/>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2.80</w:t>
            </w:r>
          </w:p>
        </w:tc>
        <w:tc>
          <w:tcPr>
            <w:tcW w:w="1698" w:type="dxa"/>
            <w:tcBorders/>
            <w:shd w:fill="auto" w:val="clear"/>
          </w:tcPr>
          <w:p>
            <w:pPr>
              <w:pStyle w:val="Normal"/>
              <w:spacing w:lineRule="auto" w:line="259"/>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0.42</w:t>
            </w:r>
          </w:p>
        </w:tc>
      </w:tr>
      <w:tr>
        <w:trPr>
          <w:trHeight w:val="1602"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jc w:val="both"/>
              <w:rPr>
                <w:rFonts w:ascii="FreeSans" w:hAnsi="FreeSans"/>
                <w:b/>
                <w:b/>
                <w:bCs/>
                <w:sz w:val="18"/>
                <w:szCs w:val="18"/>
              </w:rPr>
            </w:pPr>
            <w:r>
              <w:rPr>
                <w:rFonts w:ascii="FreeSans" w:hAnsi="FreeSans"/>
                <w:b/>
                <w:bCs/>
                <w:sz w:val="18"/>
                <w:szCs w:val="18"/>
              </w:rPr>
            </w:r>
          </w:p>
          <w:p>
            <w:pPr>
              <w:pStyle w:val="Normal"/>
              <w:jc w:val="both"/>
              <w:rPr>
                <w:rFonts w:ascii="FreeSans" w:hAnsi="FreeSans"/>
              </w:rPr>
            </w:pPr>
            <w:r>
              <w:rPr>
                <w:rFonts w:ascii="FreeSans" w:hAnsi="FreeSans"/>
                <w:b/>
                <w:bCs/>
                <w:sz w:val="18"/>
                <w:szCs w:val="18"/>
              </w:rPr>
              <w:t>Injury mechanism</w:t>
            </w:r>
          </w:p>
          <w:p>
            <w:pPr>
              <w:pStyle w:val="Normal"/>
              <w:jc w:val="both"/>
              <w:rPr>
                <w:rFonts w:ascii="FreeSans" w:hAnsi="FreeSans"/>
                <w:b/>
                <w:b/>
                <w:bCs/>
                <w:sz w:val="18"/>
                <w:szCs w:val="18"/>
              </w:rPr>
            </w:pPr>
            <w:r>
              <w:rPr>
                <w:rFonts w:ascii="FreeSans" w:hAnsi="FreeSans"/>
                <w:b/>
                <w:bCs/>
                <w:sz w:val="18"/>
                <w:szCs w:val="18"/>
              </w:rPr>
            </w:r>
          </w:p>
        </w:tc>
        <w:tc>
          <w:tcPr>
            <w:tcW w:w="2269" w:type="dxa"/>
            <w:tcBorders/>
            <w:shd w:color="auto" w:fill="F2F2F2" w:themeFill="background1" w:themeFillShade="f2" w:val="clear"/>
          </w:tcPr>
          <w:p>
            <w:pPr>
              <w:pStyle w:val="Normal"/>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Transport-Pedestrian (46)</w:t>
            </w:r>
          </w:p>
          <w:p>
            <w:pPr>
              <w:pStyle w:val="Normal"/>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Transport-Cyclist (77)</w:t>
            </w:r>
          </w:p>
          <w:p>
            <w:pPr>
              <w:pStyle w:val="Normal"/>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Transport-Motorbike (198)</w:t>
            </w:r>
          </w:p>
          <w:p>
            <w:pPr>
              <w:pStyle w:val="Normal"/>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Transport-Vehicle occupant (255)</w:t>
            </w:r>
          </w:p>
          <w:p>
            <w:pPr>
              <w:pStyle w:val="Normal"/>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Falls (260)</w:t>
            </w:r>
          </w:p>
          <w:p>
            <w:pPr>
              <w:pStyle w:val="Normal"/>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Other</w:t>
            </w:r>
            <w:r>
              <w:rPr>
                <w:rFonts w:ascii="FreeSans" w:hAnsi="FreeSans"/>
                <w:sz w:val="18"/>
                <w:szCs w:val="18"/>
                <w:vertAlign w:val="superscript"/>
              </w:rPr>
              <w:t xml:space="preserve"># </w:t>
            </w:r>
            <w:r>
              <w:rPr>
                <w:rFonts w:ascii="FreeSans" w:hAnsi="FreeSans"/>
                <w:sz w:val="18"/>
                <w:szCs w:val="18"/>
              </w:rPr>
              <w:t>(139)</w:t>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13 (5.4)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17 (7.0)</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43 (17.9)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59 (24.4)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58 (24.0)</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52 (21.5)</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12 (5.0)</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20 (8.3)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49 (20.2)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61 (25.2)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70 (28.9)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30 (12.4)</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13 (5.3)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17 (6.9)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53 (21.6)</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64 (26.1)</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68 (27.8)</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30 (12.2)</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8 (3.3)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23 (9.4)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51 (20.9)</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71 (29.1)</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64 (26.2)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27 (11.1)</w:t>
            </w:r>
          </w:p>
        </w:tc>
        <w:tc>
          <w:tcPr>
            <w:tcW w:w="170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18.10</w:t>
            </w:r>
          </w:p>
        </w:tc>
        <w:tc>
          <w:tcPr>
            <w:tcW w:w="1698"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0.26</w:t>
            </w:r>
          </w:p>
        </w:tc>
      </w:tr>
      <w:tr>
        <w:trPr>
          <w:trHeight w:val="889" w:hRule="atLeast"/>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rPr>
            </w:pPr>
            <w:r>
              <w:rPr>
                <w:rFonts w:ascii="FreeSans" w:hAnsi="FreeSans"/>
                <w:b/>
                <w:bCs/>
                <w:sz w:val="18"/>
                <w:szCs w:val="18"/>
              </w:rPr>
              <w:t>Injury location</w:t>
            </w:r>
            <w:r>
              <w:rPr>
                <w:rFonts w:ascii="FreeSans" w:hAnsi="FreeSans"/>
                <w:b/>
                <w:bCs/>
                <w:sz w:val="18"/>
                <w:szCs w:val="18"/>
                <w:vertAlign w:val="superscript"/>
              </w:rPr>
              <w:t>##</w:t>
            </w:r>
          </w:p>
          <w:p>
            <w:pPr>
              <w:pStyle w:val="Normal"/>
              <w:jc w:val="both"/>
              <w:rPr>
                <w:rFonts w:ascii="FreeSans" w:hAnsi="FreeSans"/>
                <w:b/>
                <w:b/>
                <w:bCs/>
                <w:sz w:val="18"/>
                <w:szCs w:val="18"/>
              </w:rPr>
            </w:pPr>
            <w:r>
              <w:rPr>
                <w:rFonts w:ascii="FreeSans" w:hAnsi="FreeSans"/>
                <w:b/>
                <w:bCs/>
                <w:sz w:val="18"/>
                <w:szCs w:val="18"/>
              </w:rPr>
            </w:r>
          </w:p>
        </w:tc>
        <w:tc>
          <w:tcPr>
            <w:tcW w:w="2269" w:type="dxa"/>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Residence (224)</w:t>
            </w:r>
          </w:p>
          <w:p>
            <w:pPr>
              <w:pStyle w:val="Normal"/>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Street/Highway (460)</w:t>
            </w:r>
          </w:p>
          <w:p>
            <w:pPr>
              <w:pStyle w:val="Normal"/>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Commercial (58)</w:t>
            </w:r>
          </w:p>
          <w:p>
            <w:pPr>
              <w:pStyle w:val="Normal"/>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Other/Unspecified (167)</w:t>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63 (27.6)</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115 (50.4)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13 (5.7)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37 (16.2)</w:t>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51 (22.1)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117 (50.9)</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17 (7.4)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48 (19.9)</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48 (21.9)</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113 (51.6)</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14 (6.4)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44 (20.1)</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62 (26.8)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115 (49.8)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14 (6.1)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40 (17.3)</w:t>
            </w:r>
          </w:p>
        </w:tc>
        <w:tc>
          <w:tcPr>
            <w:tcW w:w="170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4.54</w:t>
            </w:r>
          </w:p>
        </w:tc>
        <w:tc>
          <w:tcPr>
            <w:tcW w:w="1698"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0.872</w:t>
            </w:r>
          </w:p>
        </w:tc>
      </w:tr>
      <w:tr>
        <w:trPr>
          <w:trHeight w:val="1000" w:hRule="atLeast"/>
          <w:cnfStyle w:val="000000100000" w:firstRow="0" w:lastRow="0" w:firstColumn="0" w:lastColumn="0" w:oddVBand="0" w:evenVBand="0" w:oddHBand="1" w:evenHBand="0" w:firstRowFirstColumn="0" w:firstRowLastColumn="0" w:lastRowFirstColumn="0" w:lastRowLastColumn="0"/>
        </w:trPr>
        <w:tc>
          <w:tcPr>
            <w:tcW w:w="1843"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rPr>
                <w:rFonts w:ascii="FreeSans" w:hAnsi="FreeSans"/>
                <w:b/>
                <w:b/>
                <w:bCs/>
                <w:sz w:val="18"/>
                <w:szCs w:val="18"/>
              </w:rPr>
            </w:pPr>
            <w:r>
              <w:rPr>
                <w:rFonts w:ascii="FreeSans" w:hAnsi="FreeSans"/>
                <w:b/>
                <w:bCs/>
                <w:sz w:val="18"/>
                <w:szCs w:val="18"/>
              </w:rPr>
            </w:r>
          </w:p>
          <w:p>
            <w:pPr>
              <w:pStyle w:val="Normal"/>
              <w:rPr>
                <w:rFonts w:ascii="FreeSans" w:hAnsi="FreeSans"/>
              </w:rPr>
            </w:pPr>
            <w:r>
              <w:rPr>
                <w:rFonts w:ascii="FreeSans" w:hAnsi="FreeSans"/>
                <w:b/>
                <w:bCs/>
                <w:sz w:val="18"/>
                <w:szCs w:val="18"/>
              </w:rPr>
              <w:t>Number of Comorbidities</w:t>
            </w:r>
          </w:p>
          <w:p>
            <w:pPr>
              <w:pStyle w:val="Normal"/>
              <w:rPr>
                <w:rFonts w:ascii="FreeSans" w:hAnsi="FreeSans"/>
              </w:rPr>
            </w:pPr>
            <w:r>
              <w:rPr>
                <w:rFonts w:ascii="FreeSans" w:hAnsi="FreeSans"/>
                <w:b/>
                <w:bCs/>
                <w:sz w:val="18"/>
                <w:szCs w:val="18"/>
              </w:rPr>
              <w:t>(Median, IQR)</w:t>
            </w:r>
          </w:p>
          <w:p>
            <w:pPr>
              <w:pStyle w:val="Normal"/>
              <w:jc w:val="both"/>
              <w:rPr>
                <w:rFonts w:ascii="FreeSans" w:hAnsi="FreeSans"/>
                <w:b/>
                <w:b/>
                <w:bCs/>
                <w:sz w:val="18"/>
                <w:szCs w:val="18"/>
              </w:rPr>
            </w:pPr>
            <w:r>
              <w:rPr>
                <w:rFonts w:ascii="FreeSans" w:hAnsi="FreeSans"/>
                <w:b/>
                <w:bCs/>
                <w:sz w:val="18"/>
                <w:szCs w:val="18"/>
              </w:rPr>
            </w:r>
          </w:p>
        </w:tc>
        <w:tc>
          <w:tcPr>
            <w:tcW w:w="2269"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741"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 (0-3)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243</w:t>
            </w:r>
          </w:p>
        </w:tc>
        <w:tc>
          <w:tcPr>
            <w:tcW w:w="1530"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 (0-3)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245</w:t>
            </w:r>
          </w:p>
        </w:tc>
        <w:tc>
          <w:tcPr>
            <w:tcW w:w="1276"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 (0-3)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248</w:t>
            </w:r>
          </w:p>
        </w:tc>
        <w:tc>
          <w:tcPr>
            <w:tcW w:w="1544" w:type="dxa"/>
            <w:gridSpan w:val="2"/>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 (0-2)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247</w:t>
            </w:r>
          </w:p>
        </w:tc>
        <w:tc>
          <w:tcPr>
            <w:tcW w:w="1700" w:type="dxa"/>
            <w:gridSpan w:val="2"/>
            <w:tcBorders/>
            <w:shd w:color="auto" w:fill="F2F2F2" w:themeFill="background1" w:themeFillShade="f2" w:val="clear"/>
          </w:tcPr>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spacing w:lineRule="auto" w:line="259"/>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11.26*</w:t>
            </w:r>
          </w:p>
        </w:tc>
        <w:tc>
          <w:tcPr>
            <w:tcW w:w="1698" w:type="dxa"/>
            <w:tcBorders/>
            <w:shd w:color="auto" w:fill="F2F2F2" w:themeFill="background1" w:themeFillShade="f2"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0.01</w:t>
            </w:r>
          </w:p>
        </w:tc>
      </w:tr>
      <w:tr>
        <w:trPr>
          <w:trHeight w:val="249" w:hRule="atLeast"/>
        </w:trPr>
        <w:tc>
          <w:tcPr>
            <w:tcW w:w="1843"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sz w:val="18"/>
                <w:szCs w:val="18"/>
              </w:rPr>
            </w:pPr>
            <w:r>
              <w:rPr>
                <w:rFonts w:ascii="FreeSans" w:hAnsi="FreeSans"/>
                <w:b/>
                <w:bCs/>
                <w:sz w:val="18"/>
                <w:szCs w:val="18"/>
              </w:rPr>
            </w:r>
          </w:p>
          <w:p>
            <w:pPr>
              <w:pStyle w:val="Normal"/>
              <w:jc w:val="both"/>
              <w:rPr>
                <w:rFonts w:ascii="FreeSans" w:hAnsi="FreeSans"/>
              </w:rPr>
            </w:pPr>
            <w:r>
              <w:rPr>
                <w:rFonts w:ascii="FreeSans" w:hAnsi="FreeSans"/>
                <w:b/>
                <w:bCs/>
                <w:sz w:val="18"/>
                <w:szCs w:val="18"/>
              </w:rPr>
              <w:t>First Provider</w:t>
            </w:r>
          </w:p>
        </w:tc>
        <w:tc>
          <w:tcPr>
            <w:tcW w:w="2269"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GCUH (795)</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Regional /Other hospital (187)</w:t>
            </w:r>
          </w:p>
        </w:tc>
        <w:tc>
          <w:tcPr>
            <w:tcW w:w="1741"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178 (73.3)</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65 (26.7)</w:t>
            </w:r>
          </w:p>
        </w:tc>
        <w:tc>
          <w:tcPr>
            <w:tcW w:w="153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198 (80.8)</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47 (19.2)</w:t>
            </w:r>
          </w:p>
        </w:tc>
        <w:tc>
          <w:tcPr>
            <w:tcW w:w="1276"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210 (84.7)</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38 (15.3)</w:t>
            </w:r>
          </w:p>
        </w:tc>
        <w:tc>
          <w:tcPr>
            <w:tcW w:w="1544"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209 (85.0)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37 (15.0)</w:t>
            </w:r>
          </w:p>
        </w:tc>
        <w:tc>
          <w:tcPr>
            <w:tcW w:w="1700" w:type="dxa"/>
            <w:gridSpan w:val="2"/>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14.14</w:t>
            </w:r>
          </w:p>
        </w:tc>
        <w:tc>
          <w:tcPr>
            <w:tcW w:w="1698" w:type="dxa"/>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0.003</w:t>
            </w:r>
          </w:p>
        </w:tc>
      </w:tr>
    </w:tbl>
    <w:p>
      <w:pPr>
        <w:pStyle w:val="Normal"/>
        <w:jc w:val="both"/>
        <w:rPr>
          <w:rFonts w:ascii="FreeSans" w:hAnsi="FreeSans"/>
        </w:rPr>
      </w:pPr>
      <w:r>
        <w:rPr>
          <w:rFonts w:ascii="FreeSans" w:hAnsi="FreeSans"/>
          <w:sz w:val="16"/>
          <w:szCs w:val="16"/>
        </w:rPr>
        <w:t>* Kruskall Wallis H Test Statistic</w:t>
      </w:r>
    </w:p>
    <w:p>
      <w:pPr>
        <w:pStyle w:val="Normal"/>
        <w:jc w:val="both"/>
        <w:rPr>
          <w:rFonts w:ascii="FreeSans" w:hAnsi="FreeSans"/>
        </w:rPr>
      </w:pPr>
      <w:r>
        <w:rPr>
          <w:rFonts w:ascii="FreeSans" w:hAnsi="FreeSans"/>
          <w:sz w:val="16"/>
          <w:szCs w:val="16"/>
          <w:vertAlign w:val="superscript"/>
        </w:rPr>
        <w:t>#</w:t>
      </w:r>
      <w:r>
        <w:rPr>
          <w:rFonts w:ascii="FreeSans" w:hAnsi="FreeSans"/>
          <w:sz w:val="16"/>
          <w:szCs w:val="16"/>
        </w:rPr>
        <w:t xml:space="preserve"> Includes self-harm, assault, legal intervention, undetermined mechanism</w:t>
      </w:r>
    </w:p>
    <w:p>
      <w:pPr>
        <w:sectPr>
          <w:footerReference w:type="default" r:id="rId7"/>
          <w:type w:val="nextPage"/>
          <w:pgSz w:orient="landscape" w:w="16838" w:h="11906"/>
          <w:pgMar w:left="1440" w:right="1440" w:header="0" w:top="1440" w:footer="709" w:bottom="1440" w:gutter="0"/>
          <w:pgNumType w:fmt="decimal"/>
          <w:formProt w:val="false"/>
          <w:textDirection w:val="lrTb"/>
          <w:docGrid w:type="default" w:linePitch="360" w:charSpace="0"/>
        </w:sectPr>
        <w:pStyle w:val="Normal"/>
        <w:widowControl/>
        <w:numPr>
          <w:ilvl w:val="0"/>
          <w:numId w:val="0"/>
        </w:numPr>
        <w:bidi w:val="0"/>
        <w:spacing w:lineRule="auto" w:line="360"/>
        <w:jc w:val="both"/>
        <w:outlineLvl w:val="1"/>
        <w:rPr>
          <w:rFonts w:ascii="FreeSans" w:hAnsi="FreeSans"/>
        </w:rPr>
      </w:pPr>
      <w:r>
        <w:rPr>
          <w:rFonts w:ascii="FreeSans" w:hAnsi="FreeSans"/>
          <w:sz w:val="16"/>
          <w:szCs w:val="16"/>
          <w:vertAlign w:val="superscript"/>
        </w:rPr>
        <w:t>##</w:t>
      </w:r>
      <w:r>
        <w:rPr>
          <w:rFonts w:ascii="FreeSans" w:hAnsi="FreeSans"/>
          <w:sz w:val="16"/>
          <w:szCs w:val="16"/>
        </w:rPr>
        <w:t xml:space="preserve"> Excludes school/sports injuries (due to small numbers in cells)</w:t>
      </w:r>
    </w:p>
    <w:p>
      <w:pPr>
        <w:pStyle w:val="Heading2"/>
        <w:keepNext w:val="true"/>
        <w:keepLines/>
        <w:widowControl/>
        <w:numPr>
          <w:ilvl w:val="0"/>
          <w:numId w:val="0"/>
        </w:numPr>
        <w:bidi w:val="0"/>
        <w:spacing w:before="171" w:after="171"/>
        <w:jc w:val="both"/>
        <w:outlineLvl w:val="1"/>
        <w:rPr>
          <w:rFonts w:ascii="FreeSans" w:hAnsi="FreeSans"/>
        </w:rPr>
      </w:pPr>
      <w:r>
        <w:rPr>
          <w:rFonts w:eastAsia="0" w:cs=""/>
          <w:b/>
          <w:color w:val="000000"/>
          <w:kern w:val="0"/>
          <w:sz w:val="32"/>
          <w:szCs w:val="32"/>
          <w:lang w:val="en-GB" w:eastAsia="ar-SA" w:bidi="ar-SA"/>
        </w:rPr>
        <w:t>Multivariate association of IRSD with key explanatory injury for hospitalised patients</w:t>
      </w:r>
    </w:p>
    <w:p>
      <w:pPr>
        <w:pStyle w:val="Normal"/>
        <w:spacing w:lineRule="auto" w:line="360"/>
        <w:jc w:val="both"/>
        <w:rPr>
          <w:rFonts w:ascii="FreeSans" w:hAnsi="FreeSans" w:eastAsia="Times New Roman" w:cs="FreeSans"/>
          <w:b/>
          <w:b/>
          <w:color w:val="000000" w:themeColor="text1"/>
          <w:kern w:val="0"/>
          <w:sz w:val="24"/>
          <w:lang w:val="en-AU" w:eastAsia="ar-SA"/>
        </w:rPr>
      </w:pPr>
      <w:r>
        <w:rPr>
          <w:rFonts w:eastAsia="Times New Roman" w:cs="FreeSans" w:ascii="FreeSans" w:hAnsi="FreeSans"/>
          <w:color w:val="000000"/>
          <w:kern w:val="0"/>
          <w:sz w:val="24"/>
          <w:lang w:val="en-GB" w:eastAsia="ar-SA"/>
        </w:rPr>
        <w:t xml:space="preserve">Table 4 shows the association of IRSD with key geographical parameters, after adjusting for age and sex.  The ‘least disadvantaged’ category is the reference category. For each geographical characteristic, there is a statistically significant and positive trend towards increasing disadvantage according to remoteness of residence (p&lt;0.001). People living in regional and remote areas were nearly five times more likely to be in the ‘most disadvantaged’ category compared to those in the ‘least disadvantaged’ category. Similarly, the odds of being injured in a regional and remote area were nearly threefold higher in the ‘most disadvantaged’ category compared to those in the ‘least disadvantaged’ category. Positive, increasing gradients of disadvantage were also evident for injuries occurring in NSW compared to QLD, and where the first provider was a hospital other than the GCUH Trauma Service. </w:t>
      </w:r>
    </w:p>
    <w:p>
      <w:pPr>
        <w:pStyle w:val="Normal"/>
        <w:spacing w:lineRule="auto" w:line="360"/>
        <w:jc w:val="both"/>
        <w:rPr>
          <w:rFonts w:ascii="FreeSans" w:hAnsi="FreeSans" w:eastAsia="Times New Roman" w:cs="FreeSans"/>
          <w:b/>
          <w:b/>
          <w:color w:val="000000" w:themeColor="text1"/>
          <w:kern w:val="0"/>
          <w:sz w:val="24"/>
          <w:lang w:val="en-AU" w:eastAsia="ar-SA"/>
        </w:rPr>
      </w:pPr>
      <w:r>
        <w:rPr>
          <w:rFonts w:eastAsia="Times New Roman" w:cs="FreeSans" w:ascii="FreeSans" w:hAnsi="FreeSans"/>
          <w:b/>
          <w:color w:val="000000" w:themeColor="text1"/>
          <w:kern w:val="0"/>
          <w:sz w:val="24"/>
          <w:lang w:val="en-AU" w:eastAsia="ar-SA"/>
        </w:rPr>
      </w:r>
    </w:p>
    <w:p>
      <w:pPr>
        <w:pStyle w:val="Normal"/>
        <w:jc w:val="both"/>
        <w:rPr>
          <w:rFonts w:ascii="FreeSans" w:hAnsi="FreeSans"/>
        </w:rPr>
      </w:pPr>
      <w:r>
        <w:rPr>
          <w:rFonts w:eastAsia="Times New Roman" w:cs="FreeSans" w:ascii="FreeSans" w:hAnsi="FreeSans"/>
          <w:b/>
          <w:color w:val="000000"/>
          <w:kern w:val="0"/>
          <w:sz w:val="24"/>
          <w:lang w:val="en-AU" w:eastAsia="ar-SA"/>
        </w:rPr>
        <w:t>Table 4: Association of relative socioeconomic disadvantage with geographic parameters #</w:t>
      </w:r>
    </w:p>
    <w:p>
      <w:pPr>
        <w:pStyle w:val="Normal"/>
        <w:jc w:val="both"/>
        <w:rPr>
          <w:rFonts w:ascii="FreeSans" w:hAnsi="FreeSans" w:eastAsia="Times New Roman" w:cs="FreeSans"/>
          <w:color w:val="000000"/>
          <w:kern w:val="0"/>
          <w:sz w:val="24"/>
          <w:lang w:val="en-AU" w:eastAsia="ar-SA"/>
        </w:rPr>
      </w:pPr>
      <w:r>
        <w:rPr>
          <w:rFonts w:eastAsia="Times New Roman" w:cs="FreeSans" w:ascii="FreeSans" w:hAnsi="FreeSans"/>
          <w:color w:val="000000"/>
          <w:kern w:val="0"/>
          <w:sz w:val="24"/>
          <w:lang w:val="en-AU" w:eastAsia="ar-SA"/>
        </w:rPr>
      </w:r>
    </w:p>
    <w:tbl>
      <w:tblPr>
        <w:tblW w:w="9528" w:type="dxa"/>
        <w:jc w:val="left"/>
        <w:tblInd w:w="-108" w:type="dxa"/>
        <w:tblBorders>
          <w:top w:val="single" w:sz="4" w:space="0" w:color="7F7F7F"/>
          <w:bottom w:val="single" w:sz="4" w:space="0" w:color="7F7F7F"/>
          <w:insideH w:val="single" w:sz="4" w:space="0" w:color="7F7F7F"/>
        </w:tblBorders>
        <w:tblCellMar>
          <w:top w:w="0" w:type="dxa"/>
          <w:left w:w="108" w:type="dxa"/>
          <w:bottom w:w="0" w:type="dxa"/>
          <w:right w:w="108" w:type="dxa"/>
        </w:tblCellMar>
      </w:tblPr>
      <w:tblGrid>
        <w:gridCol w:w="1756"/>
        <w:gridCol w:w="1758"/>
        <w:gridCol w:w="1614"/>
        <w:gridCol w:w="1320"/>
        <w:gridCol w:w="1467"/>
        <w:gridCol w:w="1612"/>
      </w:tblGrid>
      <w:tr>
        <w:trPr/>
        <w:tc>
          <w:tcPr>
            <w:tcW w:w="1756" w:type="dxa"/>
            <w:tcBorders>
              <w:top w:val="single" w:sz="4" w:space="0" w:color="7F7F7F"/>
              <w:bottom w:val="single" w:sz="4" w:space="0" w:color="7F7F7F"/>
              <w:insideH w:val="single" w:sz="4" w:space="0" w:color="7F7F7F"/>
            </w:tcBorders>
            <w:shd w:fill="auto" w:val="clear"/>
          </w:tcPr>
          <w:p>
            <w:pPr>
              <w:pStyle w:val="Normal"/>
              <w:tabs>
                <w:tab w:val="clear" w:pos="709"/>
              </w:tabs>
              <w:jc w:val="both"/>
              <w:rPr>
                <w:rFonts w:ascii="FreeSans" w:hAnsi="FreeSans" w:cs="FreeSans"/>
                <w:b/>
                <w:b/>
                <w:sz w:val="20"/>
              </w:rPr>
            </w:pPr>
            <w:r>
              <w:rPr>
                <w:rFonts w:cs="FreeSans" w:ascii="FreeSans" w:hAnsi="FreeSans"/>
                <w:b/>
                <w:sz w:val="20"/>
              </w:rPr>
            </w:r>
          </w:p>
        </w:tc>
        <w:tc>
          <w:tcPr>
            <w:tcW w:w="1758" w:type="dxa"/>
            <w:tcBorders>
              <w:top w:val="single" w:sz="4" w:space="0" w:color="7F7F7F"/>
              <w:bottom w:val="single" w:sz="4" w:space="0" w:color="7F7F7F"/>
              <w:insideH w:val="single" w:sz="4" w:space="0" w:color="7F7F7F"/>
            </w:tcBorders>
            <w:shd w:fill="auto" w:val="clear"/>
          </w:tcPr>
          <w:p>
            <w:pPr>
              <w:pStyle w:val="Normal"/>
              <w:tabs>
                <w:tab w:val="clear" w:pos="709"/>
              </w:tabs>
              <w:jc w:val="both"/>
              <w:rPr>
                <w:rFonts w:ascii="FreeSans" w:hAnsi="FreeSans" w:cs="FreeSans"/>
                <w:b/>
                <w:b/>
                <w:sz w:val="20"/>
              </w:rPr>
            </w:pPr>
            <w:r>
              <w:rPr>
                <w:rFonts w:cs="FreeSans" w:ascii="FreeSans" w:hAnsi="FreeSans"/>
                <w:b/>
                <w:sz w:val="20"/>
              </w:rPr>
            </w:r>
          </w:p>
        </w:tc>
        <w:tc>
          <w:tcPr>
            <w:tcW w:w="6013" w:type="dxa"/>
            <w:gridSpan w:val="4"/>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b/>
                <w:sz w:val="20"/>
              </w:rPr>
              <w:t>Quartiles of socioeconomic disadvantage</w:t>
            </w:r>
          </w:p>
          <w:p>
            <w:pPr>
              <w:pStyle w:val="Normal"/>
              <w:tabs>
                <w:tab w:val="clear" w:pos="709"/>
              </w:tabs>
              <w:jc w:val="center"/>
              <w:rPr/>
            </w:pPr>
            <w:r>
              <w:rPr>
                <w:rFonts w:cs="FreeSans" w:ascii="FreeSans" w:hAnsi="FreeSans"/>
                <w:b/>
                <w:sz w:val="20"/>
              </w:rPr>
              <w:t>OR (95% CI)</w:t>
            </w:r>
          </w:p>
          <w:p>
            <w:pPr>
              <w:pStyle w:val="Normal"/>
              <w:tabs>
                <w:tab w:val="clear" w:pos="709"/>
              </w:tabs>
              <w:jc w:val="both"/>
              <w:rPr>
                <w:rFonts w:ascii="FreeSans" w:hAnsi="FreeSans" w:cs="FreeSans"/>
                <w:b/>
                <w:b/>
                <w:sz w:val="20"/>
              </w:rPr>
            </w:pPr>
            <w:r>
              <w:rPr>
                <w:rFonts w:cs="FreeSans" w:ascii="FreeSans" w:hAnsi="FreeSans"/>
                <w:b/>
                <w:sz w:val="20"/>
              </w:rPr>
            </w:r>
          </w:p>
        </w:tc>
      </w:tr>
      <w:tr>
        <w:trPr>
          <w:trHeight w:val="1114" w:hRule="atLeast"/>
        </w:trPr>
        <w:tc>
          <w:tcPr>
            <w:tcW w:w="1756" w:type="dxa"/>
            <w:tcBorders>
              <w:top w:val="single" w:sz="4" w:space="0" w:color="7F7F7F"/>
              <w:bottom w:val="single" w:sz="4" w:space="0" w:color="7F7F7F"/>
              <w:insideH w:val="single" w:sz="4" w:space="0" w:color="7F7F7F"/>
            </w:tcBorders>
            <w:shd w:fill="auto" w:val="clear"/>
          </w:tcPr>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pPr>
            <w:r>
              <w:rPr>
                <w:rFonts w:cs="FreeSans" w:ascii="FreeSans" w:hAnsi="FreeSans"/>
                <w:b/>
                <w:sz w:val="20"/>
              </w:rPr>
              <w:t>Variables</w:t>
            </w:r>
          </w:p>
        </w:tc>
        <w:tc>
          <w:tcPr>
            <w:tcW w:w="1758" w:type="dxa"/>
            <w:tcBorders>
              <w:top w:val="single" w:sz="4" w:space="0" w:color="7F7F7F"/>
              <w:bottom w:val="single" w:sz="4" w:space="0" w:color="7F7F7F"/>
              <w:insideH w:val="single" w:sz="4" w:space="0" w:color="7F7F7F"/>
            </w:tcBorders>
            <w:shd w:fill="auto" w:val="clear"/>
          </w:tcPr>
          <w:p>
            <w:pPr>
              <w:pStyle w:val="Normal"/>
              <w:tabs>
                <w:tab w:val="clear" w:pos="709"/>
              </w:tabs>
              <w:jc w:val="center"/>
              <w:rPr>
                <w:rFonts w:ascii="FreeSans" w:hAnsi="FreeSans" w:cs="FreeSans"/>
                <w:sz w:val="20"/>
              </w:rPr>
            </w:pPr>
            <w:r>
              <w:rPr>
                <w:rFonts w:cs="FreeSans" w:ascii="FreeSans" w:hAnsi="FreeSans"/>
                <w:sz w:val="20"/>
              </w:rPr>
            </w:r>
          </w:p>
          <w:p>
            <w:pPr>
              <w:pStyle w:val="Normal"/>
              <w:tabs>
                <w:tab w:val="clear" w:pos="709"/>
              </w:tabs>
              <w:jc w:val="center"/>
              <w:rPr>
                <w:rFonts w:ascii="FreeSans" w:hAnsi="FreeSans" w:cs="FreeSans"/>
                <w:sz w:val="20"/>
              </w:rPr>
            </w:pPr>
            <w:r>
              <w:rPr>
                <w:rFonts w:cs="FreeSans" w:ascii="FreeSans" w:hAnsi="FreeSans"/>
                <w:sz w:val="20"/>
              </w:rPr>
            </w:r>
          </w:p>
        </w:tc>
        <w:tc>
          <w:tcPr>
            <w:tcW w:w="1614" w:type="dxa"/>
            <w:tcBorders>
              <w:top w:val="single" w:sz="4" w:space="0" w:color="7F7F7F"/>
              <w:bottom w:val="single" w:sz="4" w:space="0" w:color="7F7F7F"/>
              <w:insideH w:val="single" w:sz="4" w:space="0" w:color="7F7F7F"/>
            </w:tcBorders>
            <w:shd w:fill="auto" w:val="clear"/>
          </w:tcPr>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pPr>
            <w:r>
              <w:rPr>
                <w:rFonts w:cs="FreeSans" w:ascii="FreeSans" w:hAnsi="FreeSans"/>
                <w:b/>
                <w:sz w:val="20"/>
              </w:rPr>
              <w:t>IRSD 1</w:t>
            </w:r>
          </w:p>
          <w:p>
            <w:pPr>
              <w:pStyle w:val="Normal"/>
              <w:tabs>
                <w:tab w:val="clear" w:pos="709"/>
              </w:tabs>
              <w:jc w:val="center"/>
              <w:rPr/>
            </w:pPr>
            <w:r>
              <w:rPr>
                <w:rFonts w:cs="FreeSans" w:ascii="FreeSans" w:hAnsi="FreeSans"/>
                <w:b/>
                <w:sz w:val="20"/>
              </w:rPr>
              <w:t>Most disadvantaged</w:t>
            </w:r>
          </w:p>
        </w:tc>
        <w:tc>
          <w:tcPr>
            <w:tcW w:w="1320" w:type="dxa"/>
            <w:tcBorders>
              <w:top w:val="single" w:sz="4" w:space="0" w:color="7F7F7F"/>
              <w:bottom w:val="single" w:sz="4" w:space="0" w:color="7F7F7F"/>
              <w:insideH w:val="single" w:sz="4" w:space="0" w:color="7F7F7F"/>
            </w:tcBorders>
            <w:shd w:fill="auto" w:val="clear"/>
          </w:tcPr>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pPr>
            <w:r>
              <w:rPr>
                <w:rFonts w:cs="FreeSans" w:ascii="FreeSans" w:hAnsi="FreeSans"/>
                <w:b/>
                <w:sz w:val="20"/>
              </w:rPr>
              <w:t>IRSD 2</w:t>
            </w:r>
          </w:p>
          <w:p>
            <w:pPr>
              <w:pStyle w:val="Normal"/>
              <w:tabs>
                <w:tab w:val="clear" w:pos="709"/>
              </w:tabs>
              <w:jc w:val="center"/>
              <w:rPr>
                <w:rFonts w:ascii="FreeSans" w:hAnsi="FreeSans" w:cs="FreeSans"/>
                <w:sz w:val="20"/>
              </w:rPr>
            </w:pPr>
            <w:r>
              <w:rPr>
                <w:rFonts w:cs="FreeSans" w:ascii="FreeSans" w:hAnsi="FreeSans"/>
                <w:sz w:val="20"/>
              </w:rPr>
            </w:r>
          </w:p>
        </w:tc>
        <w:tc>
          <w:tcPr>
            <w:tcW w:w="1467" w:type="dxa"/>
            <w:tcBorders>
              <w:top w:val="single" w:sz="4" w:space="0" w:color="7F7F7F"/>
              <w:bottom w:val="single" w:sz="4" w:space="0" w:color="7F7F7F"/>
              <w:insideH w:val="single" w:sz="4" w:space="0" w:color="7F7F7F"/>
            </w:tcBorders>
            <w:shd w:fill="auto" w:val="clear"/>
          </w:tcPr>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pPr>
            <w:r>
              <w:rPr>
                <w:rFonts w:cs="FreeSans" w:ascii="FreeSans" w:hAnsi="FreeSans"/>
                <w:b/>
                <w:sz w:val="20"/>
              </w:rPr>
              <w:t>IRSD 3</w:t>
            </w:r>
          </w:p>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rFonts w:ascii="FreeSans" w:hAnsi="FreeSans" w:cs="FreeSans"/>
                <w:b/>
                <w:b/>
                <w:sz w:val="20"/>
              </w:rPr>
            </w:pPr>
            <w:r>
              <w:rPr>
                <w:rFonts w:cs="FreeSans" w:ascii="FreeSans" w:hAnsi="FreeSans"/>
                <w:b/>
                <w:sz w:val="20"/>
              </w:rPr>
            </w:r>
          </w:p>
        </w:tc>
        <w:tc>
          <w:tcPr>
            <w:tcW w:w="1612" w:type="dxa"/>
            <w:tcBorders>
              <w:top w:val="single" w:sz="4" w:space="0" w:color="7F7F7F"/>
              <w:bottom w:val="single" w:sz="4" w:space="0" w:color="7F7F7F"/>
              <w:insideH w:val="single" w:sz="4" w:space="0" w:color="7F7F7F"/>
            </w:tcBorders>
            <w:shd w:fill="auto" w:val="clear"/>
          </w:tcPr>
          <w:p>
            <w:pPr>
              <w:pStyle w:val="Normal"/>
              <w:tabs>
                <w:tab w:val="clear" w:pos="709"/>
              </w:tabs>
              <w:jc w:val="center"/>
              <w:rPr>
                <w:rFonts w:ascii="FreeSans" w:hAnsi="FreeSans" w:cs="FreeSans"/>
                <w:b/>
                <w:b/>
                <w:sz w:val="20"/>
              </w:rPr>
            </w:pPr>
            <w:r>
              <w:rPr>
                <w:rFonts w:cs="FreeSans" w:ascii="FreeSans" w:hAnsi="FreeSans"/>
                <w:b/>
                <w:sz w:val="20"/>
              </w:rPr>
            </w:r>
          </w:p>
          <w:p>
            <w:pPr>
              <w:pStyle w:val="Normal"/>
              <w:tabs>
                <w:tab w:val="clear" w:pos="709"/>
              </w:tabs>
              <w:jc w:val="center"/>
              <w:rPr/>
            </w:pPr>
            <w:r>
              <w:rPr>
                <w:rFonts w:cs="FreeSans" w:ascii="FreeSans" w:hAnsi="FreeSans"/>
                <w:b/>
                <w:sz w:val="20"/>
              </w:rPr>
              <w:t>IRSD 4</w:t>
            </w:r>
          </w:p>
          <w:p>
            <w:pPr>
              <w:pStyle w:val="Normal"/>
              <w:tabs>
                <w:tab w:val="clear" w:pos="709"/>
              </w:tabs>
              <w:jc w:val="center"/>
              <w:rPr/>
            </w:pPr>
            <w:r>
              <w:rPr>
                <w:rFonts w:cs="FreeSans" w:ascii="FreeSans" w:hAnsi="FreeSans"/>
                <w:b/>
                <w:sz w:val="20"/>
              </w:rPr>
              <w:t>Least disadvantaged</w:t>
            </w:r>
          </w:p>
          <w:p>
            <w:pPr>
              <w:pStyle w:val="Normal"/>
              <w:tabs>
                <w:tab w:val="clear" w:pos="709"/>
              </w:tabs>
              <w:jc w:val="center"/>
              <w:rPr>
                <w:rFonts w:ascii="FreeSans" w:hAnsi="FreeSans" w:cs="FreeSans"/>
                <w:b/>
                <w:b/>
                <w:sz w:val="20"/>
              </w:rPr>
            </w:pPr>
            <w:r>
              <w:rPr>
                <w:rFonts w:cs="FreeSans" w:ascii="FreeSans" w:hAnsi="FreeSans"/>
                <w:b/>
                <w:sz w:val="20"/>
              </w:rPr>
            </w:r>
          </w:p>
        </w:tc>
      </w:tr>
      <w:tr>
        <w:trPr/>
        <w:tc>
          <w:tcPr>
            <w:tcW w:w="1756"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b/>
                <w:sz w:val="18"/>
              </w:rPr>
              <w:t>Area of residence</w:t>
            </w:r>
          </w:p>
        </w:tc>
        <w:tc>
          <w:tcPr>
            <w:tcW w:w="1758"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Major cities</w:t>
            </w:r>
          </w:p>
          <w:p>
            <w:pPr>
              <w:pStyle w:val="Normal"/>
              <w:tabs>
                <w:tab w:val="clear" w:pos="709"/>
              </w:tabs>
              <w:jc w:val="center"/>
              <w:rPr/>
            </w:pPr>
            <w:r>
              <w:rPr>
                <w:rFonts w:cs="FreeSans" w:ascii="FreeSans" w:hAnsi="FreeSans"/>
                <w:sz w:val="18"/>
              </w:rPr>
              <w:t>Regional/Remote</w:t>
            </w:r>
          </w:p>
          <w:p>
            <w:pPr>
              <w:pStyle w:val="Normal"/>
              <w:tabs>
                <w:tab w:val="clear" w:pos="709"/>
              </w:tabs>
              <w:jc w:val="center"/>
              <w:rPr>
                <w:rFonts w:ascii="FreeSans" w:hAnsi="FreeSans" w:cs="FreeSans"/>
                <w:sz w:val="18"/>
              </w:rPr>
            </w:pPr>
            <w:r>
              <w:rPr>
                <w:rFonts w:cs="FreeSans" w:ascii="FreeSans" w:hAnsi="FreeSans"/>
                <w:sz w:val="18"/>
              </w:rPr>
            </w:r>
          </w:p>
        </w:tc>
        <w:tc>
          <w:tcPr>
            <w:tcW w:w="1614"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4.90 </w:t>
            </w:r>
          </w:p>
          <w:p>
            <w:pPr>
              <w:pStyle w:val="Normal"/>
              <w:tabs>
                <w:tab w:val="clear" w:pos="709"/>
              </w:tabs>
              <w:jc w:val="center"/>
              <w:rPr/>
            </w:pPr>
            <w:r>
              <w:rPr>
                <w:rFonts w:cs="FreeSans" w:ascii="FreeSans" w:hAnsi="FreeSans"/>
                <w:sz w:val="18"/>
              </w:rPr>
              <w:t>(2.95 -8.15)***</w:t>
            </w:r>
          </w:p>
        </w:tc>
        <w:tc>
          <w:tcPr>
            <w:tcW w:w="1320"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3.32 </w:t>
            </w:r>
          </w:p>
          <w:p>
            <w:pPr>
              <w:pStyle w:val="Normal"/>
              <w:tabs>
                <w:tab w:val="clear" w:pos="709"/>
              </w:tabs>
              <w:jc w:val="center"/>
              <w:rPr/>
            </w:pPr>
            <w:r>
              <w:rPr>
                <w:rFonts w:cs="FreeSans" w:ascii="FreeSans" w:hAnsi="FreeSans"/>
                <w:sz w:val="18"/>
              </w:rPr>
              <w:t>(1.97-5.85)***</w:t>
            </w:r>
          </w:p>
        </w:tc>
        <w:tc>
          <w:tcPr>
            <w:tcW w:w="1467"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2.72 </w:t>
            </w:r>
          </w:p>
          <w:p>
            <w:pPr>
              <w:pStyle w:val="Normal"/>
              <w:tabs>
                <w:tab w:val="clear" w:pos="709"/>
              </w:tabs>
              <w:jc w:val="center"/>
              <w:rPr/>
            </w:pPr>
            <w:r>
              <w:rPr>
                <w:rFonts w:cs="FreeSans" w:ascii="FreeSans" w:hAnsi="FreeSans"/>
                <w:sz w:val="18"/>
              </w:rPr>
              <w:t>(1.60-4.62)***</w:t>
            </w:r>
          </w:p>
        </w:tc>
        <w:tc>
          <w:tcPr>
            <w:tcW w:w="1612"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1.00</w:t>
            </w:r>
          </w:p>
        </w:tc>
      </w:tr>
      <w:tr>
        <w:trPr>
          <w:trHeight w:val="435" w:hRule="atLeast"/>
        </w:trPr>
        <w:tc>
          <w:tcPr>
            <w:tcW w:w="1756"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b/>
                <w:sz w:val="18"/>
              </w:rPr>
              <w:t>Area of injury incident</w:t>
            </w:r>
          </w:p>
        </w:tc>
        <w:tc>
          <w:tcPr>
            <w:tcW w:w="1758"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Major cities</w:t>
            </w:r>
          </w:p>
          <w:p>
            <w:pPr>
              <w:pStyle w:val="Normal"/>
              <w:tabs>
                <w:tab w:val="clear" w:pos="709"/>
              </w:tabs>
              <w:jc w:val="center"/>
              <w:rPr/>
            </w:pPr>
            <w:r>
              <w:rPr>
                <w:rFonts w:cs="FreeSans" w:ascii="FreeSans" w:hAnsi="FreeSans"/>
                <w:sz w:val="18"/>
              </w:rPr>
              <w:t>Regional/Remote</w:t>
            </w:r>
          </w:p>
          <w:p>
            <w:pPr>
              <w:pStyle w:val="Normal"/>
              <w:tabs>
                <w:tab w:val="clear" w:pos="709"/>
              </w:tabs>
              <w:jc w:val="center"/>
              <w:rPr>
                <w:rFonts w:ascii="FreeSans" w:hAnsi="FreeSans" w:cs="FreeSans"/>
                <w:sz w:val="18"/>
              </w:rPr>
            </w:pPr>
            <w:r>
              <w:rPr>
                <w:rFonts w:cs="FreeSans" w:ascii="FreeSans" w:hAnsi="FreeSans"/>
                <w:sz w:val="18"/>
              </w:rPr>
            </w:r>
          </w:p>
        </w:tc>
        <w:tc>
          <w:tcPr>
            <w:tcW w:w="1614"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2.51 </w:t>
            </w:r>
          </w:p>
          <w:p>
            <w:pPr>
              <w:pStyle w:val="Normal"/>
              <w:tabs>
                <w:tab w:val="clear" w:pos="709"/>
              </w:tabs>
              <w:jc w:val="center"/>
              <w:rPr/>
            </w:pPr>
            <w:r>
              <w:rPr>
                <w:rFonts w:cs="FreeSans" w:ascii="FreeSans" w:hAnsi="FreeSans"/>
                <w:sz w:val="18"/>
              </w:rPr>
              <w:t>(1.63-3.89)***</w:t>
            </w:r>
          </w:p>
        </w:tc>
        <w:tc>
          <w:tcPr>
            <w:tcW w:w="1320"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1.59 </w:t>
            </w:r>
          </w:p>
          <w:p>
            <w:pPr>
              <w:pStyle w:val="Normal"/>
              <w:tabs>
                <w:tab w:val="clear" w:pos="709"/>
              </w:tabs>
              <w:jc w:val="center"/>
              <w:rPr/>
            </w:pPr>
            <w:r>
              <w:rPr>
                <w:rFonts w:cs="FreeSans" w:ascii="FreeSans" w:hAnsi="FreeSans"/>
                <w:sz w:val="18"/>
              </w:rPr>
              <w:t>(1.01-2.50)*</w:t>
            </w:r>
          </w:p>
        </w:tc>
        <w:tc>
          <w:tcPr>
            <w:tcW w:w="1467"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1.33 </w:t>
            </w:r>
          </w:p>
          <w:p>
            <w:pPr>
              <w:pStyle w:val="Normal"/>
              <w:tabs>
                <w:tab w:val="clear" w:pos="709"/>
              </w:tabs>
              <w:jc w:val="center"/>
              <w:rPr/>
            </w:pPr>
            <w:r>
              <w:rPr>
                <w:rFonts w:cs="FreeSans" w:ascii="FreeSans" w:hAnsi="FreeSans"/>
                <w:sz w:val="18"/>
              </w:rPr>
              <w:t>(0.84-2.11)</w:t>
            </w:r>
          </w:p>
        </w:tc>
        <w:tc>
          <w:tcPr>
            <w:tcW w:w="1612"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1.00</w:t>
            </w:r>
          </w:p>
        </w:tc>
      </w:tr>
      <w:tr>
        <w:trPr/>
        <w:tc>
          <w:tcPr>
            <w:tcW w:w="1756"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b/>
                <w:sz w:val="18"/>
              </w:rPr>
              <w:t>State of injury incident</w:t>
            </w:r>
          </w:p>
        </w:tc>
        <w:tc>
          <w:tcPr>
            <w:tcW w:w="1758"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Queensland</w:t>
            </w:r>
          </w:p>
          <w:p>
            <w:pPr>
              <w:pStyle w:val="Normal"/>
              <w:tabs>
                <w:tab w:val="clear" w:pos="709"/>
              </w:tabs>
              <w:jc w:val="center"/>
              <w:rPr/>
            </w:pPr>
            <w:r>
              <w:rPr>
                <w:rFonts w:cs="FreeSans" w:ascii="FreeSans" w:hAnsi="FreeSans"/>
                <w:sz w:val="18"/>
              </w:rPr>
              <w:t>NSW</w:t>
            </w:r>
          </w:p>
          <w:p>
            <w:pPr>
              <w:pStyle w:val="Normal"/>
              <w:tabs>
                <w:tab w:val="clear" w:pos="709"/>
              </w:tabs>
              <w:jc w:val="center"/>
              <w:rPr>
                <w:rFonts w:ascii="FreeSans" w:hAnsi="FreeSans" w:cs="FreeSans"/>
                <w:sz w:val="18"/>
              </w:rPr>
            </w:pPr>
            <w:r>
              <w:rPr>
                <w:rFonts w:cs="FreeSans" w:ascii="FreeSans" w:hAnsi="FreeSans"/>
                <w:sz w:val="18"/>
              </w:rPr>
            </w:r>
          </w:p>
        </w:tc>
        <w:tc>
          <w:tcPr>
            <w:tcW w:w="1614"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3.57 </w:t>
            </w:r>
          </w:p>
          <w:p>
            <w:pPr>
              <w:pStyle w:val="Normal"/>
              <w:tabs>
                <w:tab w:val="clear" w:pos="709"/>
              </w:tabs>
              <w:jc w:val="center"/>
              <w:rPr/>
            </w:pPr>
            <w:r>
              <w:rPr>
                <w:rFonts w:cs="FreeSans" w:ascii="FreeSans" w:hAnsi="FreeSans"/>
                <w:sz w:val="18"/>
              </w:rPr>
              <w:t>(2.28-5.58)***</w:t>
            </w:r>
          </w:p>
        </w:tc>
        <w:tc>
          <w:tcPr>
            <w:tcW w:w="1320"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2.28 </w:t>
            </w:r>
          </w:p>
          <w:p>
            <w:pPr>
              <w:pStyle w:val="Normal"/>
              <w:tabs>
                <w:tab w:val="clear" w:pos="709"/>
              </w:tabs>
              <w:jc w:val="center"/>
              <w:rPr/>
            </w:pPr>
            <w:r>
              <w:rPr>
                <w:rFonts w:cs="FreeSans" w:ascii="FreeSans" w:hAnsi="FreeSans"/>
                <w:sz w:val="18"/>
              </w:rPr>
              <w:t>(1.40-3.54)**</w:t>
            </w:r>
          </w:p>
        </w:tc>
        <w:tc>
          <w:tcPr>
            <w:tcW w:w="1467"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1.02 (0.61-1.71)</w:t>
            </w:r>
          </w:p>
        </w:tc>
        <w:tc>
          <w:tcPr>
            <w:tcW w:w="1612"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1.00</w:t>
            </w:r>
          </w:p>
        </w:tc>
      </w:tr>
      <w:tr>
        <w:trPr/>
        <w:tc>
          <w:tcPr>
            <w:tcW w:w="1756"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b/>
                <w:sz w:val="18"/>
              </w:rPr>
              <w:t>First provider</w:t>
            </w:r>
          </w:p>
        </w:tc>
        <w:tc>
          <w:tcPr>
            <w:tcW w:w="1758"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Trauma Centre</w:t>
            </w:r>
          </w:p>
          <w:p>
            <w:pPr>
              <w:pStyle w:val="Normal"/>
              <w:tabs>
                <w:tab w:val="clear" w:pos="709"/>
              </w:tabs>
              <w:jc w:val="center"/>
              <w:rPr/>
            </w:pPr>
            <w:r>
              <w:rPr>
                <w:rFonts w:cs="FreeSans" w:ascii="FreeSans" w:hAnsi="FreeSans"/>
                <w:sz w:val="18"/>
              </w:rPr>
              <w:t>Other</w:t>
            </w:r>
          </w:p>
          <w:p>
            <w:pPr>
              <w:pStyle w:val="Normal"/>
              <w:tabs>
                <w:tab w:val="clear" w:pos="709"/>
              </w:tabs>
              <w:jc w:val="center"/>
              <w:rPr>
                <w:rFonts w:ascii="FreeSans" w:hAnsi="FreeSans" w:cs="FreeSans"/>
                <w:sz w:val="18"/>
              </w:rPr>
            </w:pPr>
            <w:r>
              <w:rPr>
                <w:rFonts w:cs="FreeSans" w:ascii="FreeSans" w:hAnsi="FreeSans"/>
                <w:sz w:val="18"/>
              </w:rPr>
            </w:r>
          </w:p>
        </w:tc>
        <w:tc>
          <w:tcPr>
            <w:tcW w:w="1614"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2.16 </w:t>
            </w:r>
          </w:p>
          <w:p>
            <w:pPr>
              <w:pStyle w:val="Normal"/>
              <w:tabs>
                <w:tab w:val="clear" w:pos="709"/>
              </w:tabs>
              <w:jc w:val="center"/>
              <w:rPr/>
            </w:pPr>
            <w:r>
              <w:rPr>
                <w:rFonts w:cs="FreeSans" w:ascii="FreeSans" w:hAnsi="FreeSans"/>
                <w:sz w:val="18"/>
              </w:rPr>
              <w:t>(1.37-3.40)***</w:t>
            </w:r>
          </w:p>
        </w:tc>
        <w:tc>
          <w:tcPr>
            <w:tcW w:w="1320"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1.42 </w:t>
            </w:r>
          </w:p>
          <w:p>
            <w:pPr>
              <w:pStyle w:val="Normal"/>
              <w:tabs>
                <w:tab w:val="clear" w:pos="709"/>
              </w:tabs>
              <w:jc w:val="center"/>
              <w:rPr/>
            </w:pPr>
            <w:r>
              <w:rPr>
                <w:rFonts w:cs="FreeSans" w:ascii="FreeSans" w:hAnsi="FreeSans"/>
                <w:sz w:val="18"/>
              </w:rPr>
              <w:t>(0.88-2.23)</w:t>
            </w:r>
          </w:p>
        </w:tc>
        <w:tc>
          <w:tcPr>
            <w:tcW w:w="1467"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 xml:space="preserve">1.08 </w:t>
            </w:r>
          </w:p>
          <w:p>
            <w:pPr>
              <w:pStyle w:val="Normal"/>
              <w:tabs>
                <w:tab w:val="clear" w:pos="709"/>
              </w:tabs>
              <w:jc w:val="center"/>
              <w:rPr/>
            </w:pPr>
            <w:r>
              <w:rPr>
                <w:rFonts w:cs="FreeSans" w:ascii="FreeSans" w:hAnsi="FreeSans"/>
                <w:sz w:val="18"/>
              </w:rPr>
              <w:t>(0.66-1.79)</w:t>
            </w:r>
          </w:p>
        </w:tc>
        <w:tc>
          <w:tcPr>
            <w:tcW w:w="1612" w:type="dxa"/>
            <w:tcBorders>
              <w:top w:val="single" w:sz="4" w:space="0" w:color="7F7F7F"/>
              <w:bottom w:val="single" w:sz="4" w:space="0" w:color="7F7F7F"/>
              <w:insideH w:val="single" w:sz="4" w:space="0" w:color="7F7F7F"/>
            </w:tcBorders>
            <w:shd w:fill="auto" w:val="clear"/>
          </w:tcPr>
          <w:p>
            <w:pPr>
              <w:pStyle w:val="Normal"/>
              <w:tabs>
                <w:tab w:val="clear" w:pos="709"/>
              </w:tabs>
              <w:jc w:val="center"/>
              <w:rPr/>
            </w:pPr>
            <w:r>
              <w:rPr>
                <w:rFonts w:cs="FreeSans" w:ascii="FreeSans" w:hAnsi="FreeSans"/>
                <w:sz w:val="18"/>
              </w:rPr>
              <w:t>1.00</w:t>
            </w:r>
          </w:p>
        </w:tc>
      </w:tr>
    </w:tbl>
    <w:p>
      <w:pPr>
        <w:pStyle w:val="Normal"/>
        <w:rPr/>
      </w:pPr>
      <w:r>
        <w:rPr>
          <w:rFonts w:cs="FreeSans" w:ascii="FreeSans" w:hAnsi="FreeSans"/>
          <w:i/>
          <w:sz w:val="20"/>
          <w:vertAlign w:val="superscript"/>
        </w:rPr>
        <w:t>#</w:t>
      </w:r>
      <w:r>
        <w:rPr>
          <w:rFonts w:eastAsia="Times New Roman" w:cs="FreeSans" w:ascii="FreeSans" w:hAnsi="FreeSans"/>
          <w:i/>
          <w:color w:val="000000"/>
          <w:kern w:val="0"/>
          <w:sz w:val="20"/>
          <w:lang w:val="en-AU" w:eastAsia="ar-SA"/>
        </w:rPr>
        <w:t xml:space="preserve"> Adjusted for age group and sex</w:t>
      </w:r>
    </w:p>
    <w:p>
      <w:pPr>
        <w:pStyle w:val="Normal"/>
        <w:jc w:val="both"/>
        <w:rPr/>
      </w:pPr>
      <w:r>
        <w:rPr>
          <w:rFonts w:eastAsia="Times New Roman" w:cs="FreeSans" w:ascii="FreeSans" w:hAnsi="FreeSans"/>
          <w:i/>
          <w:color w:val="000000"/>
          <w:kern w:val="0"/>
          <w:sz w:val="20"/>
          <w:lang w:val="en-AU" w:eastAsia="ar-SA"/>
        </w:rPr>
        <w:t>*** p&lt;=0.001, ** p&lt;=0.01, *p&lt;=0.05</w:t>
      </w:r>
    </w:p>
    <w:p>
      <w:pPr>
        <w:pStyle w:val="Footer"/>
        <w:jc w:val="both"/>
        <w:rPr>
          <w:rFonts w:ascii="FreeSans" w:hAnsi="FreeSans" w:eastAsia="Times New Roman" w:cs="FreeSans"/>
          <w:color w:val="000000"/>
          <w:kern w:val="0"/>
          <w:sz w:val="24"/>
          <w:lang w:val="en-GB" w:eastAsia="ar-SA"/>
        </w:rPr>
      </w:pPr>
      <w:r>
        <w:rPr>
          <w:rFonts w:eastAsia="Times New Roman" w:cs="FreeSans" w:ascii="FreeSans" w:hAnsi="FreeSans"/>
          <w:color w:val="000000"/>
          <w:kern w:val="0"/>
          <w:sz w:val="24"/>
          <w:lang w:val="en-GB" w:eastAsia="ar-SA"/>
        </w:rPr>
      </w:r>
    </w:p>
    <w:p>
      <w:pPr>
        <w:pStyle w:val="Footer"/>
        <w:jc w:val="both"/>
        <w:rPr>
          <w:rFonts w:ascii="FreeSans" w:hAnsi="FreeSans" w:eastAsia="Times New Roman" w:cs="FreeSans"/>
          <w:color w:val="000000"/>
          <w:kern w:val="0"/>
          <w:sz w:val="24"/>
          <w:lang w:val="en-GB" w:eastAsia="ar-SA"/>
        </w:rPr>
      </w:pPr>
      <w:r>
        <w:rPr>
          <w:rFonts w:eastAsia="Times New Roman" w:cs="FreeSans" w:ascii="FreeSans" w:hAnsi="FreeSans"/>
          <w:color w:val="000000"/>
          <w:kern w:val="0"/>
          <w:sz w:val="24"/>
          <w:lang w:val="en-GB" w:eastAsia="ar-SA"/>
        </w:rPr>
      </w:r>
    </w:p>
    <w:p>
      <w:pPr>
        <w:pStyle w:val="Footer"/>
        <w:jc w:val="both"/>
        <w:rPr>
          <w:rFonts w:ascii="FreeSans" w:hAnsi="FreeSans" w:eastAsia="Times New Roman" w:cs="FreeSans"/>
          <w:color w:val="000000"/>
          <w:kern w:val="0"/>
          <w:sz w:val="24"/>
          <w:lang w:val="en-GB" w:eastAsia="ar-SA"/>
        </w:rPr>
      </w:pPr>
      <w:r>
        <w:rPr>
          <w:rFonts w:eastAsia="Times New Roman" w:cs="FreeSans" w:ascii="FreeSans" w:hAnsi="FreeSans"/>
          <w:color w:val="000000"/>
          <w:kern w:val="0"/>
          <w:sz w:val="24"/>
          <w:lang w:val="en-GB" w:eastAsia="ar-SA"/>
        </w:rPr>
      </w:r>
    </w:p>
    <w:p>
      <w:pPr>
        <w:pStyle w:val="Footer"/>
        <w:spacing w:lineRule="auto" w:line="360"/>
        <w:jc w:val="both"/>
        <w:rPr>
          <w:rFonts w:ascii="FreeSans" w:hAnsi="FreeSans"/>
        </w:rPr>
      </w:pPr>
      <w:r>
        <w:rPr>
          <w:rFonts w:eastAsia="Times New Roman" w:cs="FreeSans" w:ascii="FreeSans" w:hAnsi="FreeSans"/>
          <w:color w:val="000000"/>
          <w:kern w:val="0"/>
          <w:sz w:val="24"/>
          <w:lang w:val="en-GB" w:eastAsia="ar-SA"/>
        </w:rPr>
        <w:t xml:space="preserve">In terms of patient factors, there was a statistically significant inverse correlation between the number of comorbidities and disadvantage (p&lt;0.001), however neither measure of injury severity was significantly associated with relative socioeconomic disadvantage (Table 5). Further analysis showed that both ISS (B=2.18, 95% CI 0.80-3.67, p&lt;0.01) and NISS (B=3.25, 95% CI 1.35-4.94, p&lt;0.001) were positively and significantly associated with remoteness of residence independently of age, sex and remoteness of injury site (data not shown).  However the number of comorbidities was not statistically significantly associated with remoteness of residence (OR 0.99 95% CI  0.92-1.05, p=0.68) (data not shown). </w:t>
      </w:r>
    </w:p>
    <w:p>
      <w:pPr>
        <w:pStyle w:val="Normal"/>
        <w:spacing w:lineRule="auto" w:line="360"/>
        <w:jc w:val="both"/>
        <w:rPr>
          <w:b/>
          <w:b/>
          <w:color w:val="000000" w:themeColor="text1"/>
        </w:rPr>
      </w:pPr>
      <w:r>
        <w:rPr>
          <w:b/>
          <w:color w:val="000000" w:themeColor="text1"/>
        </w:rPr>
      </w:r>
    </w:p>
    <w:p>
      <w:pPr>
        <w:pStyle w:val="Normal"/>
        <w:spacing w:before="0" w:after="0"/>
        <w:jc w:val="both"/>
        <w:rPr>
          <w:rFonts w:ascii="FreeSans" w:hAnsi="FreeSans"/>
        </w:rPr>
      </w:pPr>
      <w:r>
        <w:rPr>
          <w:rFonts w:ascii="FreeSans" w:hAnsi="FreeSans"/>
          <w:b/>
          <w:color w:val="000000" w:themeColor="text1"/>
        </w:rPr>
        <w:t xml:space="preserve">Table 5: Association of IRSD with patient factors: number of comorbidities and injury severity </w:t>
      </w:r>
      <w:r>
        <w:rPr>
          <w:rFonts w:ascii="FreeSans" w:hAnsi="FreeSans"/>
          <w:b/>
          <w:color w:val="000000" w:themeColor="text1"/>
          <w:vertAlign w:val="superscript"/>
        </w:rPr>
        <w:t>#</w:t>
      </w:r>
    </w:p>
    <w:p>
      <w:pPr>
        <w:pStyle w:val="Normal"/>
        <w:jc w:val="both"/>
        <w:rPr>
          <w:rFonts w:ascii="FreeSans" w:hAnsi="FreeSans"/>
        </w:rPr>
      </w:pPr>
      <w:r>
        <w:rPr>
          <w:rFonts w:ascii="FreeSans" w:hAnsi="FreeSans"/>
          <w:color w:val="000000" w:themeColor="text1"/>
          <w:sz w:val="20"/>
          <w:szCs w:val="20"/>
        </w:rPr>
        <w:tab/>
        <w:tab/>
        <w:tab/>
        <w:tab/>
        <w:tab/>
        <w:tab/>
        <w:tab/>
        <w:tab/>
      </w:r>
    </w:p>
    <w:tbl>
      <w:tblPr>
        <w:tblStyle w:val="PlainTable21"/>
        <w:tblW w:w="5387" w:type="dxa"/>
        <w:jc w:val="left"/>
        <w:tblInd w:w="-108" w:type="dxa"/>
        <w:tblCellMar>
          <w:top w:w="0" w:type="dxa"/>
          <w:left w:w="108" w:type="dxa"/>
          <w:bottom w:w="0" w:type="dxa"/>
          <w:right w:w="108" w:type="dxa"/>
        </w:tblCellMar>
        <w:tblLook w:noVBand="1" w:val="04a0" w:noHBand="0" w:lastColumn="0" w:firstColumn="1" w:lastRow="0" w:firstRow="1"/>
      </w:tblPr>
      <w:tblGrid>
        <w:gridCol w:w="2551"/>
        <w:gridCol w:w="2835"/>
      </w:tblGrid>
      <w:tr>
        <w:trPr>
          <w:trHeight w:val="906" w:hRule="atLeast"/>
          <w:cnfStyle w:val="100000000000" w:firstRow="1" w:lastRow="0" w:firstColumn="0" w:lastColumn="0" w:oddVBand="0" w:evenVBand="0" w:oddHBand="0" w:evenHBand="0" w:firstRowFirstColumn="0" w:firstRowLastColumn="0" w:lastRowFirstColumn="0" w:lastRowLastColumn="0"/>
        </w:trPr>
        <w:tc>
          <w:tcPr>
            <w:tcW w:w="2551"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center"/>
              <w:rPr>
                <w:rFonts w:ascii="FreeSans" w:hAnsi="FreeSans"/>
                <w:b/>
                <w:b/>
                <w:bCs/>
                <w:sz w:val="20"/>
                <w:szCs w:val="20"/>
              </w:rPr>
            </w:pPr>
            <w:r>
              <w:rPr>
                <w:rFonts w:ascii="FreeSans" w:hAnsi="FreeSans"/>
                <w:b/>
                <w:bCs/>
                <w:sz w:val="20"/>
                <w:szCs w:val="20"/>
              </w:rPr>
            </w:r>
          </w:p>
          <w:p>
            <w:pPr>
              <w:pStyle w:val="Normal"/>
              <w:jc w:val="center"/>
              <w:rPr>
                <w:rFonts w:ascii="FreeSans" w:hAnsi="FreeSans"/>
              </w:rPr>
            </w:pPr>
            <w:r>
              <w:rPr>
                <w:rFonts w:ascii="FreeSans" w:hAnsi="FreeSans"/>
                <w:b/>
                <w:bCs/>
                <w:sz w:val="20"/>
                <w:szCs w:val="20"/>
              </w:rPr>
              <w:t>Variables</w:t>
            </w:r>
          </w:p>
        </w:tc>
        <w:tc>
          <w:tcPr>
            <w:tcW w:w="2835" w:type="dxa"/>
            <w:tcBorders/>
            <w:shd w:fill="auto"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FreeSans" w:hAnsi="FreeSans"/>
                <w:b/>
                <w:b/>
                <w:bCs/>
                <w:sz w:val="20"/>
                <w:szCs w:val="20"/>
              </w:rPr>
            </w:pPr>
            <w:r>
              <w:rPr>
                <w:rFonts w:ascii="FreeSans" w:hAnsi="FreeSans"/>
                <w:b/>
                <w:bCs/>
                <w:sz w:val="20"/>
                <w:szCs w:val="20"/>
              </w:rPr>
            </w:r>
          </w:p>
          <w:p>
            <w:pPr>
              <w:pStyle w:val="Normal"/>
              <w:jc w:val="center"/>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sz w:val="20"/>
                <w:szCs w:val="20"/>
              </w:rPr>
              <w:t>B</w:t>
            </w:r>
          </w:p>
          <w:p>
            <w:pPr>
              <w:pStyle w:val="Normal"/>
              <w:jc w:val="center"/>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sz w:val="20"/>
                <w:szCs w:val="20"/>
              </w:rPr>
              <w:t>(95% CI)</w:t>
            </w:r>
          </w:p>
        </w:tc>
      </w:tr>
      <w:tr>
        <w:trPr>
          <w:cnfStyle w:val="000000100000" w:firstRow="0" w:lastRow="0" w:firstColumn="0" w:lastColumn="0" w:oddVBand="0" w:evenVBand="0" w:oddHBand="1" w:evenHBand="0" w:firstRowFirstColumn="0" w:firstRowLastColumn="0" w:lastRowFirstColumn="0" w:lastRowLastColumn="0"/>
        </w:trPr>
        <w:tc>
          <w:tcPr>
            <w:tcW w:w="2551"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center"/>
              <w:rPr>
                <w:rFonts w:ascii="FreeSans" w:hAnsi="FreeSans"/>
              </w:rPr>
            </w:pPr>
            <w:r>
              <w:rPr>
                <w:rFonts w:ascii="FreeSans" w:hAnsi="FreeSans"/>
                <w:b/>
                <w:bCs/>
                <w:sz w:val="18"/>
                <w:szCs w:val="18"/>
              </w:rPr>
              <w:t>Number of comorbidities</w:t>
            </w:r>
          </w:p>
        </w:tc>
        <w:tc>
          <w:tcPr>
            <w:tcW w:w="2835"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-0.26 (-0.39 - -0.13)***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r>
      <w:tr>
        <w:trPr/>
        <w:tc>
          <w:tcPr>
            <w:tcW w:w="2551" w:type="dxa"/>
            <w:cnfStyle w:val="001000000000" w:firstRow="0" w:lastRow="0" w:firstColumn="1" w:lastColumn="0" w:oddVBand="0" w:evenVBand="0" w:oddHBand="0" w:evenHBand="0" w:firstRowFirstColumn="0" w:firstRowLastColumn="0" w:lastRowFirstColumn="0" w:lastRowLastColumn="0"/>
            <w:tcBorders>
              <w:top w:val="nil"/>
              <w:bottom w:val="nil"/>
              <w:insideH w:val="nil"/>
            </w:tcBorders>
            <w:shd w:fill="auto" w:val="clear"/>
          </w:tcPr>
          <w:p>
            <w:pPr>
              <w:pStyle w:val="Normal"/>
              <w:jc w:val="center"/>
              <w:rPr>
                <w:rFonts w:ascii="FreeSans" w:hAnsi="FreeSans"/>
              </w:rPr>
            </w:pPr>
            <w:r>
              <w:rPr>
                <w:rFonts w:ascii="FreeSans" w:hAnsi="FreeSans"/>
                <w:b/>
                <w:bCs/>
                <w:sz w:val="18"/>
                <w:szCs w:val="18"/>
              </w:rPr>
              <w:t>ISS</w:t>
            </w:r>
          </w:p>
        </w:tc>
        <w:tc>
          <w:tcPr>
            <w:tcW w:w="2835" w:type="dxa"/>
            <w:tcBorders>
              <w:top w:val="nil"/>
              <w:bottom w:val="nil"/>
              <w:insideH w:val="nil"/>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-0.77 (-0.60-0.44)</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r>
      <w:tr>
        <w:trPr>
          <w:cnfStyle w:val="000000100000" w:firstRow="0" w:lastRow="0" w:firstColumn="0" w:lastColumn="0" w:oddVBand="0" w:evenVBand="0" w:oddHBand="1" w:evenHBand="0" w:firstRowFirstColumn="0" w:firstRowLastColumn="0" w:lastRowFirstColumn="0" w:lastRowLastColumn="0"/>
        </w:trPr>
        <w:tc>
          <w:tcPr>
            <w:tcW w:w="2551"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center"/>
              <w:rPr>
                <w:rFonts w:ascii="FreeSans" w:hAnsi="FreeSans"/>
              </w:rPr>
            </w:pPr>
            <w:r>
              <w:rPr>
                <w:rFonts w:ascii="FreeSans" w:hAnsi="FreeSans"/>
                <w:b/>
                <w:bCs/>
                <w:sz w:val="18"/>
                <w:szCs w:val="18"/>
              </w:rPr>
              <w:t>NISS</w:t>
            </w:r>
          </w:p>
        </w:tc>
        <w:tc>
          <w:tcPr>
            <w:tcW w:w="2835"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sz w:val="18"/>
                <w:szCs w:val="18"/>
              </w:rPr>
              <w:t>-0.41 (-1.08-0.27)</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r>
    </w:tbl>
    <w:p>
      <w:pPr>
        <w:pStyle w:val="Normal"/>
        <w:jc w:val="both"/>
        <w:rPr>
          <w:rFonts w:ascii="FreeSans" w:hAnsi="FreeSans"/>
        </w:rPr>
      </w:pPr>
      <w:r>
        <w:rPr>
          <w:rFonts w:ascii="FreeSans" w:hAnsi="FreeSans"/>
          <w:i/>
          <w:color w:val="000000" w:themeColor="text1"/>
          <w:sz w:val="20"/>
          <w:szCs w:val="20"/>
          <w:vertAlign w:val="superscript"/>
        </w:rPr>
        <w:t>#</w:t>
      </w:r>
      <w:r>
        <w:rPr>
          <w:rFonts w:ascii="FreeSans" w:hAnsi="FreeSans"/>
          <w:i/>
          <w:color w:val="000000" w:themeColor="text1"/>
          <w:sz w:val="20"/>
          <w:szCs w:val="20"/>
        </w:rPr>
        <w:t xml:space="preserve"> Adjusted for age group and sex</w:t>
      </w:r>
    </w:p>
    <w:p>
      <w:pPr>
        <w:pStyle w:val="Normal"/>
        <w:spacing w:lineRule="auto" w:line="480" w:before="240" w:after="0"/>
        <w:jc w:val="both"/>
        <w:rPr>
          <w:rFonts w:ascii="FreeSans" w:hAnsi="FreeSans"/>
        </w:rPr>
      </w:pPr>
      <w:r>
        <w:rPr>
          <w:rFonts w:ascii="FreeSans" w:hAnsi="FreeSans"/>
          <w:b/>
          <w:bCs/>
          <w:i/>
          <w:color w:val="000000" w:themeColor="text1"/>
          <w:sz w:val="20"/>
          <w:szCs w:val="20"/>
        </w:rPr>
        <w:t>*** p&lt;=0.001, ** p&lt;=0.01, *p&lt;=0.05</w:t>
      </w:r>
    </w:p>
    <w:p>
      <w:pPr>
        <w:pStyle w:val="Normal"/>
        <w:spacing w:lineRule="auto" w:line="360" w:before="240" w:after="0"/>
        <w:rPr>
          <w:rFonts w:ascii="FreeSans" w:hAnsi="FreeSans"/>
        </w:rPr>
      </w:pPr>
      <w:r>
        <w:rPr>
          <w:rFonts w:ascii="FreeSans" w:hAnsi="FreeSans"/>
          <w:lang w:val="en-GB"/>
        </w:rPr>
        <w:t xml:space="preserve">Further, as Table 6 shows, the relationship between relative socio-economic disadvantage and remoteness of residence persists and in fact strengthens, after adjusting for age, sex, injury severity and remoteness of injury location. In this model ISS was not statistically significant (OR 1.01 95% CI 0.99-1.03, p=0.37) and there was an inverse relationship between disadvantage and remoteness of injury location (OR 0.03, 95% CI 0.02-0.05). The findings for age and sex were not statistically significant in this model.    </w:t>
      </w:r>
    </w:p>
    <w:p>
      <w:pPr>
        <w:pStyle w:val="Normal"/>
        <w:spacing w:lineRule="auto" w:line="360" w:before="69" w:after="0"/>
        <w:rPr>
          <w:lang w:val="en-GB"/>
        </w:rPr>
      </w:pPr>
      <w:r>
        <w:rPr>
          <w:lang w:val="en-GB"/>
        </w:rPr>
      </w:r>
    </w:p>
    <w:p>
      <w:pPr>
        <w:pStyle w:val="Normal"/>
        <w:jc w:val="both"/>
        <w:rPr>
          <w:rFonts w:ascii="FreeSans" w:hAnsi="FreeSans"/>
        </w:rPr>
      </w:pPr>
      <w:r>
        <w:rPr>
          <w:rFonts w:ascii="FreeSans" w:hAnsi="FreeSans"/>
          <w:b/>
          <w:color w:val="000000" w:themeColor="text1"/>
        </w:rPr>
        <w:t>Table 6: Association of IRSD with residential remoteness, accounting for remoteness of injury location and injury severity</w:t>
      </w:r>
      <w:r>
        <w:rPr>
          <w:rFonts w:ascii="FreeSans" w:hAnsi="FreeSans"/>
          <w:b/>
          <w:color w:val="000000" w:themeColor="text1"/>
          <w:vertAlign w:val="superscript"/>
        </w:rPr>
        <w:t>#</w:t>
      </w:r>
    </w:p>
    <w:p>
      <w:pPr>
        <w:pStyle w:val="Normal"/>
        <w:jc w:val="both"/>
        <w:rPr>
          <w:rFonts w:ascii="FreeSans" w:hAnsi="FreeSans"/>
          <w:i/>
          <w:i/>
          <w:color w:val="000000" w:themeColor="text1"/>
          <w:sz w:val="20"/>
          <w:szCs w:val="20"/>
        </w:rPr>
      </w:pPr>
      <w:r>
        <w:rPr>
          <w:rFonts w:ascii="FreeSans" w:hAnsi="FreeSans"/>
          <w:i/>
          <w:color w:val="000000" w:themeColor="text1"/>
          <w:sz w:val="20"/>
          <w:szCs w:val="20"/>
        </w:rPr>
      </w:r>
    </w:p>
    <w:tbl>
      <w:tblPr>
        <w:tblStyle w:val="PlainTable21"/>
        <w:tblW w:w="9214" w:type="dxa"/>
        <w:jc w:val="left"/>
        <w:tblInd w:w="-108" w:type="dxa"/>
        <w:tblCellMar>
          <w:top w:w="0" w:type="dxa"/>
          <w:left w:w="108" w:type="dxa"/>
          <w:bottom w:w="0" w:type="dxa"/>
          <w:right w:w="108" w:type="dxa"/>
        </w:tblCellMar>
        <w:tblLook w:noVBand="1" w:val="04a0" w:noHBand="0" w:lastColumn="0" w:firstColumn="1" w:lastRow="0" w:firstRow="1"/>
      </w:tblPr>
      <w:tblGrid>
        <w:gridCol w:w="1699"/>
        <w:gridCol w:w="1559"/>
        <w:gridCol w:w="1560"/>
        <w:gridCol w:w="1418"/>
        <w:gridCol w:w="1418"/>
        <w:gridCol w:w="1559"/>
      </w:tblGrid>
      <w:tr>
        <w:trPr>
          <w:cnfStyle w:val="100000000000" w:firstRow="1" w:lastRow="0" w:firstColumn="0" w:lastColumn="0" w:oddVBand="0" w:evenVBand="0" w:oddHBand="0" w:evenHBand="0" w:firstRowFirstColumn="0" w:firstRowLastColumn="0" w:lastRowFirstColumn="0" w:lastRowLastColumn="0"/>
        </w:trPr>
        <w:tc>
          <w:tcPr>
            <w:tcW w:w="1699"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both"/>
              <w:rPr>
                <w:rFonts w:ascii="FreeSans" w:hAnsi="FreeSans"/>
                <w:b/>
                <w:b/>
                <w:bCs/>
                <w:sz w:val="18"/>
                <w:szCs w:val="18"/>
              </w:rPr>
            </w:pPr>
            <w:r>
              <w:rPr>
                <w:rFonts w:ascii="FreeSans" w:hAnsi="FreeSans"/>
                <w:b/>
                <w:bCs/>
                <w:sz w:val="18"/>
                <w:szCs w:val="18"/>
              </w:rPr>
            </w:r>
          </w:p>
        </w:tc>
        <w:tc>
          <w:tcPr>
            <w:tcW w:w="1559" w:type="dxa"/>
            <w:tcBorders/>
            <w:shd w:fill="auto" w:val="clear"/>
          </w:tcPr>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sz w:val="18"/>
                <w:szCs w:val="18"/>
              </w:rPr>
            </w:pPr>
            <w:r>
              <w:rPr>
                <w:rFonts w:ascii="FreeSans" w:hAnsi="FreeSans"/>
                <w:b/>
                <w:bCs/>
                <w:sz w:val="18"/>
                <w:szCs w:val="18"/>
              </w:rPr>
            </w:r>
          </w:p>
        </w:tc>
        <w:tc>
          <w:tcPr>
            <w:tcW w:w="5955" w:type="dxa"/>
            <w:gridSpan w:val="4"/>
            <w:tcBorders/>
            <w:shd w:fill="auto"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sz w:val="18"/>
                <w:szCs w:val="18"/>
              </w:rPr>
              <w:t>Quartiles of socioeconomic disadvantage</w:t>
            </w:r>
          </w:p>
          <w:p>
            <w:pPr>
              <w:pStyle w:val="Normal"/>
              <w:jc w:val="center"/>
              <w:cnfStyle w:val="100000000000" w:firstRow="1" w:lastRow="0" w:firstColumn="0" w:lastColumn="0" w:oddVBand="0" w:evenVBand="0" w:oddHBand="0" w:evenHBand="0" w:firstRowFirstColumn="0" w:firstRowLastColumn="0" w:lastRowFirstColumn="0" w:lastRowLastColumn="0"/>
              <w:rPr>
                <w:rFonts w:ascii="FreeSans" w:hAnsi="FreeSans"/>
              </w:rPr>
            </w:pPr>
            <w:r>
              <w:rPr>
                <w:rFonts w:ascii="FreeSans" w:hAnsi="FreeSans"/>
                <w:b/>
                <w:bCs/>
                <w:sz w:val="18"/>
                <w:szCs w:val="18"/>
              </w:rPr>
              <w:t>OR (95% CI)</w:t>
            </w:r>
          </w:p>
          <w:p>
            <w:pPr>
              <w:pStyle w:val="Normal"/>
              <w:jc w:val="both"/>
              <w:cnfStyle w:val="100000000000" w:firstRow="1" w:lastRow="0" w:firstColumn="0" w:lastColumn="0" w:oddVBand="0" w:evenVBand="0" w:oddHBand="0" w:evenHBand="0" w:firstRowFirstColumn="0" w:firstRowLastColumn="0" w:lastRowFirstColumn="0" w:lastRowLastColumn="0"/>
              <w:rPr>
                <w:rFonts w:ascii="FreeSans" w:hAnsi="FreeSans"/>
                <w:b/>
                <w:b/>
                <w:bCs/>
                <w:sz w:val="18"/>
                <w:szCs w:val="18"/>
              </w:rPr>
            </w:pPr>
            <w:r>
              <w:rPr>
                <w:rFonts w:ascii="FreeSans" w:hAnsi="FreeSans"/>
                <w:b/>
                <w:bCs/>
                <w:sz w:val="18"/>
                <w:szCs w:val="18"/>
              </w:rPr>
            </w:r>
          </w:p>
        </w:tc>
      </w:tr>
      <w:tr>
        <w:trPr>
          <w:trHeight w:val="1114" w:hRule="atLeast"/>
          <w:cnfStyle w:val="000000100000" w:firstRow="0" w:lastRow="0" w:firstColumn="0" w:lastColumn="0" w:oddVBand="0" w:evenVBand="0" w:oddHBand="1" w:evenHBand="0" w:firstRowFirstColumn="0" w:firstRowLastColumn="0" w:lastRowFirstColumn="0" w:lastRowLastColumn="0"/>
        </w:trPr>
        <w:tc>
          <w:tcPr>
            <w:tcW w:w="1699" w:type="dxa"/>
            <w:cnfStyle w:val="001000000000" w:firstRow="0" w:lastRow="0" w:firstColumn="1" w:lastColumn="0" w:oddVBand="0" w:evenVBand="0" w:oddHBand="0" w:evenHBand="0" w:firstRowFirstColumn="0" w:firstRowLastColumn="0" w:lastRowFirstColumn="0" w:lastRowLastColumn="0"/>
            <w:tcBorders/>
            <w:shd w:fill="auto" w:val="clear"/>
          </w:tcPr>
          <w:p>
            <w:pPr>
              <w:pStyle w:val="Normal"/>
              <w:jc w:val="center"/>
              <w:rPr>
                <w:rFonts w:ascii="FreeSans" w:hAnsi="FreeSans"/>
                <w:b/>
                <w:b/>
                <w:bCs/>
                <w:sz w:val="18"/>
                <w:szCs w:val="18"/>
              </w:rPr>
            </w:pPr>
            <w:r>
              <w:rPr>
                <w:rFonts w:ascii="FreeSans" w:hAnsi="FreeSans"/>
                <w:b/>
                <w:bCs/>
                <w:sz w:val="18"/>
                <w:szCs w:val="18"/>
              </w:rPr>
            </w:r>
          </w:p>
          <w:p>
            <w:pPr>
              <w:pStyle w:val="Normal"/>
              <w:jc w:val="center"/>
              <w:rPr>
                <w:rFonts w:ascii="FreeSans" w:hAnsi="FreeSans"/>
                <w:b/>
                <w:b/>
                <w:bCs/>
                <w:sz w:val="18"/>
                <w:szCs w:val="18"/>
              </w:rPr>
            </w:pPr>
            <w:r>
              <w:rPr>
                <w:rFonts w:ascii="FreeSans" w:hAnsi="FreeSans"/>
                <w:b/>
                <w:bCs/>
                <w:sz w:val="18"/>
                <w:szCs w:val="18"/>
              </w:rPr>
            </w:r>
          </w:p>
          <w:p>
            <w:pPr>
              <w:pStyle w:val="Normal"/>
              <w:jc w:val="center"/>
              <w:rPr>
                <w:rFonts w:ascii="FreeSans" w:hAnsi="FreeSans"/>
              </w:rPr>
            </w:pPr>
            <w:r>
              <w:rPr>
                <w:rFonts w:ascii="FreeSans" w:hAnsi="FreeSans"/>
                <w:b/>
                <w:bCs/>
                <w:sz w:val="18"/>
                <w:szCs w:val="18"/>
              </w:rPr>
              <w:t>Variables</w:t>
            </w:r>
          </w:p>
        </w:tc>
        <w:tc>
          <w:tcPr>
            <w:tcW w:w="1559"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560"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1</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Most disadvantaged</w:t>
            </w:r>
          </w:p>
        </w:tc>
        <w:tc>
          <w:tcPr>
            <w:tcW w:w="1418"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2</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sz w:val="18"/>
                <w:szCs w:val="18"/>
              </w:rPr>
            </w:pPr>
            <w:r>
              <w:rPr>
                <w:rFonts w:ascii="FreeSans" w:hAnsi="FreeSans"/>
                <w:sz w:val="18"/>
                <w:szCs w:val="18"/>
              </w:rPr>
            </w:r>
          </w:p>
        </w:tc>
        <w:tc>
          <w:tcPr>
            <w:tcW w:w="1418"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3</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tc>
        <w:tc>
          <w:tcPr>
            <w:tcW w:w="1559" w:type="dxa"/>
            <w:tcBorders/>
            <w:shd w:fill="auto"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IRSD 4</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rPr>
            </w:pPr>
            <w:r>
              <w:rPr>
                <w:rFonts w:ascii="FreeSans" w:hAnsi="FreeSans"/>
                <w:b/>
                <w:sz w:val="18"/>
                <w:szCs w:val="18"/>
              </w:rPr>
              <w:t>Least disadvantaged</w:t>
            </w:r>
          </w:p>
          <w:p>
            <w:pPr>
              <w:pStyle w:val="Normal"/>
              <w:jc w:val="center"/>
              <w:cnfStyle w:val="000000100000" w:firstRow="0" w:lastRow="0" w:firstColumn="0" w:lastColumn="0" w:oddVBand="0" w:evenVBand="0" w:oddHBand="1" w:evenHBand="0" w:firstRowFirstColumn="0" w:firstRowLastColumn="0" w:lastRowFirstColumn="0" w:lastRowLastColumn="0"/>
              <w:rPr>
                <w:rFonts w:ascii="FreeSans" w:hAnsi="FreeSans"/>
                <w:b/>
                <w:b/>
                <w:sz w:val="18"/>
                <w:szCs w:val="18"/>
              </w:rPr>
            </w:pPr>
            <w:r>
              <w:rPr>
                <w:rFonts w:ascii="FreeSans" w:hAnsi="FreeSans"/>
                <w:b/>
                <w:sz w:val="18"/>
                <w:szCs w:val="18"/>
              </w:rPr>
            </w:r>
          </w:p>
        </w:tc>
      </w:tr>
      <w:tr>
        <w:trPr>
          <w:trHeight w:val="647" w:hRule="atLeast"/>
        </w:trPr>
        <w:tc>
          <w:tcPr>
            <w:tcW w:w="1699" w:type="dxa"/>
            <w:cnfStyle w:val="001000000000" w:firstRow="0" w:lastRow="0" w:firstColumn="1" w:lastColumn="0" w:oddVBand="0" w:evenVBand="0" w:oddHBand="0" w:evenHBand="0" w:firstRowFirstColumn="0" w:firstRowLastColumn="0" w:lastRowFirstColumn="0" w:lastRowLastColumn="0"/>
            <w:tcBorders>
              <w:top w:val="nil"/>
            </w:tcBorders>
            <w:shd w:fill="auto" w:val="clear"/>
          </w:tcPr>
          <w:p>
            <w:pPr>
              <w:pStyle w:val="Normal"/>
              <w:jc w:val="center"/>
              <w:rPr>
                <w:rFonts w:ascii="FreeSans" w:hAnsi="FreeSans"/>
              </w:rPr>
            </w:pPr>
            <w:r>
              <w:rPr>
                <w:rFonts w:ascii="FreeSans" w:hAnsi="FreeSans"/>
                <w:b/>
                <w:bCs/>
                <w:sz w:val="18"/>
                <w:szCs w:val="18"/>
              </w:rPr>
              <w:t>Area of residence</w:t>
            </w:r>
          </w:p>
        </w:tc>
        <w:tc>
          <w:tcPr>
            <w:tcW w:w="1559" w:type="dxa"/>
            <w:tcBorders>
              <w:top w:val="nil"/>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Regional/Remote</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c>
          <w:tcPr>
            <w:tcW w:w="1560" w:type="dxa"/>
            <w:tcBorders>
              <w:top w:val="nil"/>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6.21</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(3.07 -12.57)***</w:t>
            </w:r>
          </w:p>
        </w:tc>
        <w:tc>
          <w:tcPr>
            <w:tcW w:w="1418" w:type="dxa"/>
            <w:tcBorders>
              <w:top w:val="nil"/>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6.09</w:t>
            </w:r>
          </w:p>
          <w:p>
            <w:pPr>
              <w:pStyle w:val="Normal"/>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(2.94-12.62)***</w:t>
            </w:r>
          </w:p>
        </w:tc>
        <w:tc>
          <w:tcPr>
            <w:tcW w:w="1418" w:type="dxa"/>
            <w:tcBorders>
              <w:top w:val="nil"/>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 xml:space="preserve">5.14 </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(2.45-10.78)***</w:t>
            </w:r>
          </w:p>
        </w:tc>
        <w:tc>
          <w:tcPr>
            <w:tcW w:w="1559" w:type="dxa"/>
            <w:tcBorders>
              <w:top w:val="nil"/>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rPr>
            </w:pPr>
            <w:r>
              <w:rPr>
                <w:rFonts w:ascii="FreeSans" w:hAnsi="FreeSans"/>
                <w:sz w:val="18"/>
                <w:szCs w:val="18"/>
              </w:rPr>
              <w:t>1.00</w:t>
            </w:r>
          </w:p>
          <w:p>
            <w:pPr>
              <w:pStyle w:val="Normal"/>
              <w:jc w:val="center"/>
              <w:cnfStyle w:val="000000000000" w:firstRow="0" w:lastRow="0" w:firstColumn="0" w:lastColumn="0" w:oddVBand="0" w:evenVBand="0" w:oddHBand="0" w:evenHBand="0" w:firstRowFirstColumn="0" w:firstRowLastColumn="0" w:lastRowFirstColumn="0" w:lastRowLastColumn="0"/>
              <w:rPr>
                <w:rFonts w:ascii="FreeSans" w:hAnsi="FreeSans"/>
                <w:sz w:val="18"/>
                <w:szCs w:val="18"/>
              </w:rPr>
            </w:pPr>
            <w:r>
              <w:rPr>
                <w:rFonts w:ascii="FreeSans" w:hAnsi="FreeSans"/>
                <w:sz w:val="18"/>
                <w:szCs w:val="18"/>
              </w:rPr>
            </w:r>
          </w:p>
        </w:tc>
      </w:tr>
    </w:tbl>
    <w:p>
      <w:pPr>
        <w:pStyle w:val="Normal"/>
        <w:rPr>
          <w:rFonts w:ascii="FreeSans" w:hAnsi="FreeSans"/>
        </w:rPr>
      </w:pPr>
      <w:r>
        <w:rPr>
          <w:rFonts w:ascii="FreeSans" w:hAnsi="FreeSans"/>
          <w:i/>
          <w:color w:val="000000" w:themeColor="text1"/>
          <w:sz w:val="20"/>
          <w:szCs w:val="20"/>
        </w:rPr>
        <w:t># Adjusted for age group and sex, ISS, remoteness of injury location</w:t>
      </w:r>
    </w:p>
    <w:p>
      <w:pPr>
        <w:sectPr>
          <w:footerReference w:type="default" r:id="rId8"/>
          <w:type w:val="nextPage"/>
          <w:pgSz w:w="11906" w:h="16838"/>
          <w:pgMar w:left="1440" w:right="1440" w:header="0" w:top="1440" w:footer="708" w:bottom="1440" w:gutter="0"/>
          <w:pgNumType w:fmt="decimal"/>
          <w:formProt w:val="false"/>
          <w:textDirection w:val="lrTb"/>
          <w:docGrid w:type="default" w:linePitch="360" w:charSpace="0"/>
        </w:sectPr>
        <w:pStyle w:val="Normal"/>
        <w:spacing w:lineRule="auto" w:line="480" w:before="240" w:after="0"/>
        <w:jc w:val="center"/>
        <w:rPr>
          <w:rFonts w:ascii="FreeSans" w:hAnsi="FreeSans"/>
        </w:rPr>
      </w:pPr>
      <w:r>
        <w:rPr>
          <w:rFonts w:ascii="FreeSans" w:hAnsi="FreeSans"/>
          <w:b/>
          <w:bCs/>
          <w:i/>
          <w:color w:val="000000" w:themeColor="text1"/>
          <w:sz w:val="20"/>
          <w:szCs w:val="20"/>
        </w:rPr>
        <w:t>*** p&lt;=0.001, ** p&lt;=0.01, *p&lt;=0.05</w:t>
      </w:r>
    </w:p>
    <w:p>
      <w:pPr>
        <w:pStyle w:val="Heading1"/>
        <w:spacing w:before="0" w:after="0"/>
        <w:jc w:val="both"/>
        <w:rPr>
          <w:rFonts w:ascii="FreeSans" w:hAnsi="FreeSans"/>
        </w:rPr>
      </w:pPr>
      <w:r>
        <w:rPr/>
        <w:t>Discussion</w:t>
      </w:r>
    </w:p>
    <w:p>
      <w:pPr>
        <w:pStyle w:val="Normal"/>
        <w:spacing w:lineRule="auto" w:line="360" w:before="285" w:after="285"/>
        <w:jc w:val="both"/>
        <w:rPr>
          <w:rFonts w:ascii="FreeSans" w:hAnsi="FreeSans"/>
        </w:rPr>
      </w:pPr>
      <w:r>
        <w:rPr>
          <w:rFonts w:ascii="FreeSans" w:hAnsi="FreeSans"/>
          <w:color w:val="000000" w:themeColor="text1"/>
        </w:rPr>
        <w:t>The places in which people live and work are inextricably linked to their health behaviours and health outcomes, however the causal mechanisms through which these factors influence injury risk are unclear. For this study, we applied Marmot’s model of the social determinants of health to better understand the relationship of social disadvantage and residential remoteness in hospitalised patients with severe traumatic injuries.</w:t>
      </w:r>
    </w:p>
    <w:p>
      <w:pPr>
        <w:pStyle w:val="Normal"/>
        <w:spacing w:lineRule="auto" w:line="360" w:before="240" w:after="0"/>
        <w:jc w:val="both"/>
        <w:rPr>
          <w:color w:val="000000" w:themeColor="text1"/>
        </w:rPr>
      </w:pPr>
      <w:r>
        <w:rPr>
          <w:rFonts w:ascii="FreeSans" w:hAnsi="FreeSans"/>
          <w:color w:val="000000" w:themeColor="text1"/>
        </w:rPr>
        <w:t xml:space="preserve">We found that neighbourhood socioeconomic disadvantage is positively linked to residential remoteness, defined by limited accessibility to services, which is most likely occurring in NSW regional areas, compared to QLD. Furthermore, there is a positive and statistically significant gradient of increased risk of disadvantage if living in a regional or remote area. These trends persisted after controlling for age, sex, injury severity and remoteness of injury location, where the odds of living in a regional or remote area are nearly six-fold higher for people in the most disadvantaged group, compared to those in the least disadvantaged group. </w:t>
      </w:r>
    </w:p>
    <w:p>
      <w:pPr>
        <w:pStyle w:val="Normal"/>
        <w:spacing w:lineRule="auto" w:line="360" w:before="240" w:after="0"/>
        <w:jc w:val="both"/>
        <w:rPr>
          <w:color w:val="000000" w:themeColor="text1"/>
        </w:rPr>
      </w:pPr>
      <w:r>
        <w:rPr>
          <w:rFonts w:ascii="FreeSans" w:hAnsi="FreeSans"/>
          <w:color w:val="000000" w:themeColor="text1"/>
        </w:rPr>
        <w:t xml:space="preserve">Additional analysis showed similar significant trends, but of a lesser magnitude, for those who received initial trauma cares from a hospital other than the main trauma centre. Unsurprisingly, the </w:t>
      </w:r>
      <w:r>
        <w:rPr>
          <w:rFonts w:ascii="FreeSans" w:hAnsi="FreeSans"/>
        </w:rPr>
        <w:t>numbers of comorbidities in patients were</w:t>
      </w:r>
      <w:r>
        <w:rPr>
          <w:rFonts w:ascii="FreeSans" w:hAnsi="FreeSans"/>
          <w:color w:val="000000" w:themeColor="text1"/>
        </w:rPr>
        <w:t xml:space="preserve"> significantly and positively associated with increased disadvantage, but not remoteness. There was no statistical evidence of variations in disadvantage according to the severity of the injuries, injury mechanism and location and the body region of injury, however injury severity was significantly associated with remoteness of residence.</w:t>
      </w:r>
    </w:p>
    <w:p>
      <w:pPr>
        <w:pStyle w:val="Normal"/>
        <w:spacing w:lineRule="auto" w:line="360" w:before="240" w:after="0"/>
        <w:jc w:val="both"/>
        <w:rPr>
          <w:color w:val="000000" w:themeColor="text1"/>
        </w:rPr>
      </w:pPr>
      <w:r>
        <w:rPr>
          <w:rFonts w:ascii="FreeSans" w:hAnsi="FreeSans"/>
          <w:color w:val="000000" w:themeColor="text1"/>
        </w:rPr>
        <w:t xml:space="preserve">Studies of socioeconomic disadvantage and injury patterns in people who have survived serious trauma long enough to be transported to definitive trauma care are sparse. Furthermore, there is limited evidence of the association of remoteness of residence with disadvantage, independently of where the injury occurred.  </w:t>
      </w:r>
    </w:p>
    <w:p>
      <w:pPr>
        <w:pStyle w:val="Normal"/>
        <w:spacing w:lineRule="auto" w:line="360" w:before="240" w:after="0"/>
        <w:jc w:val="both"/>
        <w:rPr/>
      </w:pPr>
      <w:r>
        <w:rPr>
          <w:rFonts w:ascii="FreeSans" w:hAnsi="FreeSans"/>
          <w:color w:val="000000" w:themeColor="text1"/>
        </w:rPr>
        <w:t xml:space="preserve">Our primary findings are somewhat consistent with those from a large comprehensive Australian study of newly licensed drivers hospitalised for crash injuries. The study reported higher risks for people low SES areas, which persisted after adjusting for rurality, and a range of driver behavioural factors. </w:t>
      </w:r>
      <w:r>
        <w:fldChar w:fldCharType="begin"/>
      </w:r>
      <w:r>
        <w:rPr/>
        <w:instrText>ADDIN EN.CITE</w:instrText>
      </w:r>
      <w:r>
        <w:rPr/>
        <w:fldChar w:fldCharType="separate"/>
      </w:r>
      <w:bookmarkStart w:id="123" w:name="__Fieldmark__4610_3765729933"/>
      <w:r>
        <w:rPr/>
      </w:r>
      <w:r>
        <w:rPr/>
      </w:r>
      <w:r>
        <w:rPr/>
        <w:fldChar w:fldCharType="end"/>
      </w:r>
      <w:r>
        <w:fldChar w:fldCharType="begin"/>
      </w:r>
      <w:r>
        <w:rPr/>
        <w:instrText>ADDIN EN.CITE.DATA</w:instrText>
      </w:r>
      <w:r>
        <w:rPr/>
        <w:fldChar w:fldCharType="separate"/>
      </w:r>
      <w:bookmarkStart w:id="124" w:name="__Fieldmark__17047_1677319845"/>
      <w:bookmarkStart w:id="125" w:name="__Fieldmark__4613_3765729933"/>
      <w:bookmarkEnd w:id="123"/>
      <w:r>
        <w:rPr/>
      </w:r>
      <w:r>
        <w:rPr>
          <w:rFonts w:ascii="FreeSans" w:hAnsi="FreeSans"/>
          <w:color w:val="000000" w:themeColor="text1"/>
        </w:rPr>
        <w:t>(</w:t>
      </w:r>
      <w:bookmarkStart w:id="126" w:name="__Fieldmark__17050_1677319845"/>
      <w:bookmarkStart w:id="127" w:name="__Fieldmark__1127_2353388183"/>
      <w:r>
        <w:rPr>
          <w:rFonts w:ascii="FreeSans" w:hAnsi="FreeSans"/>
          <w:color w:val="000000" w:themeColor="text1"/>
        </w:rPr>
        <w:t>C</w:t>
      </w:r>
      <w:bookmarkStart w:id="128" w:name="__Fieldmark__1126_2353388183"/>
      <w:r>
        <w:rPr>
          <w:rFonts w:ascii="FreeSans" w:hAnsi="FreeSans"/>
          <w:color w:val="000000" w:themeColor="text1"/>
        </w:rPr>
        <w:t>hen et al., 2010)</w:t>
      </w:r>
      <w:r>
        <w:rPr/>
      </w:r>
      <w:r>
        <w:rPr/>
        <w:fldChar w:fldCharType="end"/>
      </w:r>
      <w:bookmarkEnd w:id="124"/>
      <w:bookmarkEnd w:id="125"/>
      <w:bookmarkEnd w:id="126"/>
      <w:bookmarkEnd w:id="127"/>
      <w:bookmarkEnd w:id="128"/>
      <w:r>
        <w:rPr>
          <w:rFonts w:ascii="FreeSans" w:hAnsi="FreeSans"/>
          <w:color w:val="000000" w:themeColor="text1"/>
        </w:rPr>
        <w:t xml:space="preserve"> The study sample was considerably younger than our sample. Income was excluded from the SES index and proxy measures of injury severity were analysed as confounding factors.  Elsewhere, a population case-control study of 7,382 trauma patients and residential controls found that cases with low levels of income and education were, for each, independently associated with increased odds of being in the lowest categories of SES. </w:t>
      </w:r>
      <w:r>
        <w:fldChar w:fldCharType="begin"/>
      </w:r>
      <w:r>
        <w:rPr/>
        <w:instrText>ADDIN EN.CITE</w:instrText>
      </w:r>
      <w:r>
        <w:rPr/>
        <w:fldChar w:fldCharType="separate"/>
      </w:r>
      <w:bookmarkStart w:id="129" w:name="__Fieldmark__4627_3765729933"/>
      <w:r>
        <w:rPr/>
      </w:r>
      <w:r>
        <w:rPr/>
      </w:r>
      <w:r>
        <w:rPr/>
        <w:fldChar w:fldCharType="end"/>
      </w:r>
      <w:r>
        <w:fldChar w:fldCharType="begin"/>
      </w:r>
      <w:r>
        <w:rPr/>
        <w:instrText>ADDIN EN.CITE.DATA</w:instrText>
      </w:r>
      <w:r>
        <w:rPr/>
        <w:fldChar w:fldCharType="separate"/>
      </w:r>
      <w:bookmarkStart w:id="130" w:name="__Fieldmark__17058_1677319845"/>
      <w:bookmarkStart w:id="131" w:name="__Fieldmark__4630_3765729933"/>
      <w:bookmarkEnd w:id="129"/>
      <w:r>
        <w:rPr/>
      </w:r>
      <w:r>
        <w:rPr>
          <w:rFonts w:ascii="FreeSans" w:hAnsi="FreeSans"/>
          <w:color w:val="000000" w:themeColor="text1"/>
        </w:rPr>
        <w:t>(</w:t>
      </w:r>
      <w:bookmarkStart w:id="132" w:name="__Fieldmark__17061_1677319845"/>
      <w:bookmarkStart w:id="133" w:name="__Fieldmark__1140_2353388183"/>
      <w:r>
        <w:rPr>
          <w:rFonts w:ascii="FreeSans" w:hAnsi="FreeSans"/>
          <w:color w:val="000000" w:themeColor="text1"/>
        </w:rPr>
        <w:t>B</w:t>
      </w:r>
      <w:bookmarkStart w:id="134" w:name="__Fieldmark__1139_2353388183"/>
      <w:r>
        <w:rPr>
          <w:rFonts w:ascii="FreeSans" w:hAnsi="FreeSans"/>
          <w:color w:val="000000" w:themeColor="text1"/>
        </w:rPr>
        <w:t>rattström et al., 2015)</w:t>
      </w:r>
      <w:r>
        <w:rPr/>
      </w:r>
      <w:r>
        <w:rPr/>
        <w:fldChar w:fldCharType="end"/>
      </w:r>
      <w:bookmarkEnd w:id="130"/>
      <w:bookmarkEnd w:id="131"/>
      <w:bookmarkEnd w:id="132"/>
      <w:bookmarkEnd w:id="133"/>
      <w:bookmarkEnd w:id="134"/>
      <w:r>
        <w:rPr>
          <w:rFonts w:ascii="FreeSans" w:hAnsi="FreeSans"/>
          <w:color w:val="000000" w:themeColor="text1"/>
        </w:rPr>
        <w:t xml:space="preserve"> The study also showed associations with comorbidity and disadvantage, similar to our results. </w:t>
      </w:r>
    </w:p>
    <w:p>
      <w:pPr>
        <w:pStyle w:val="Normal"/>
        <w:spacing w:lineRule="auto" w:line="360" w:before="240" w:after="0"/>
        <w:jc w:val="both"/>
        <w:rPr/>
      </w:pPr>
      <w:r>
        <w:rPr>
          <w:rFonts w:ascii="FreeSans" w:hAnsi="FreeSans"/>
          <w:color w:val="000000" w:themeColor="text1"/>
        </w:rPr>
        <w:t xml:space="preserve">We did not find any associations with injury mechanism and socioeconomic disadvantage and this has been reported elsewhere. </w:t>
      </w:r>
      <w:r>
        <w:fldChar w:fldCharType="begin"/>
      </w:r>
      <w:r>
        <w:rPr/>
        <w:instrText>ADDIN EN.CITE</w:instrText>
      </w:r>
      <w:r>
        <w:rPr/>
        <w:fldChar w:fldCharType="separate"/>
      </w:r>
      <w:bookmarkStart w:id="135" w:name="__Fieldmark__4646_3765729933"/>
      <w:r>
        <w:rPr/>
      </w:r>
      <w:r>
        <w:rPr/>
      </w:r>
      <w:r>
        <w:rPr/>
        <w:fldChar w:fldCharType="end"/>
      </w:r>
      <w:r>
        <w:fldChar w:fldCharType="begin"/>
      </w:r>
      <w:r>
        <w:rPr/>
        <w:instrText>ADDIN EN.CITE.DATA</w:instrText>
      </w:r>
      <w:r>
        <w:rPr/>
        <w:fldChar w:fldCharType="separate"/>
      </w:r>
      <w:bookmarkStart w:id="136" w:name="__Fieldmark__17071_1677319845"/>
      <w:bookmarkStart w:id="137" w:name="__Fieldmark__4649_3765729933"/>
      <w:bookmarkEnd w:id="135"/>
      <w:r>
        <w:rPr/>
      </w:r>
      <w:r>
        <w:rPr>
          <w:rFonts w:ascii="FreeSans" w:hAnsi="FreeSans"/>
        </w:rPr>
        <w:t>(</w:t>
      </w:r>
      <w:bookmarkStart w:id="138" w:name="__Fieldmark__1157_2353388183"/>
      <w:bookmarkStart w:id="139" w:name="__Fieldmark__17074_1677319845"/>
      <w:r>
        <w:rPr>
          <w:rFonts w:ascii="FreeSans" w:hAnsi="FreeSans"/>
        </w:rPr>
        <w:t>B</w:t>
      </w:r>
      <w:bookmarkStart w:id="140" w:name="__Fieldmark__1156_2353388183"/>
      <w:r>
        <w:rPr>
          <w:rFonts w:ascii="FreeSans" w:hAnsi="FreeSans"/>
        </w:rPr>
        <w:t>rattström et al., 2015)</w:t>
      </w:r>
      <w:r>
        <w:rPr/>
      </w:r>
      <w:r>
        <w:rPr/>
        <w:fldChar w:fldCharType="end"/>
      </w:r>
      <w:bookmarkEnd w:id="136"/>
      <w:bookmarkEnd w:id="137"/>
      <w:bookmarkEnd w:id="138"/>
      <w:bookmarkEnd w:id="139"/>
      <w:bookmarkEnd w:id="140"/>
      <w:r>
        <w:rPr>
          <w:rFonts w:ascii="FreeSans" w:hAnsi="FreeSans"/>
          <w:color w:val="000000" w:themeColor="text1"/>
        </w:rPr>
        <w:t xml:space="preserve"> However, a large study of neighbourhood SES category in adult patients (N=17,658) admitted to a level one trauma centre found significant trends for increased admission rates for injuries and disadvantage according to all categories of blunt mechanisms of injury, penetrating mechanism, and injury severity.</w:t>
      </w:r>
      <w:r>
        <w:fldChar w:fldCharType="begin"/>
      </w:r>
      <w:r>
        <w:rPr/>
        <w:instrText>ADDIN EN.CITE &lt;EndNote&gt;&lt;Cite&gt;&lt;Author&gt;Zarzaur&lt;/Author&gt;&lt;Year&gt;2010&lt;/Year&gt;&lt;RecNum&gt;4577&lt;/RecNum&gt;&lt;DisplayText&gt;(Zarzaur et al., 2010)&lt;/DisplayText&gt;&lt;record&gt;&lt;rec-number&gt;4577&lt;/rec-number&gt;&lt;foreign-keys&gt;&lt;key app="EN" db-id="9atez299nzwaf9eaxt5xxedjf2pp90vsfet5" timestamp="0"&gt;4577&lt;/key&gt;&lt;/foreign-keys&gt;&lt;ref-type name="Journal Article"&gt;17&lt;/ref-type&gt;&lt;contributors&gt;&lt;authors&gt;&lt;author&gt;Zarzaur, Ben L&lt;/author&gt;&lt;author&gt;Croce, Martin A&lt;/author&gt;&lt;author&gt;Fabian, Timothy C&lt;/author&gt;&lt;author&gt;Fischer, Peter&lt;/author&gt;&lt;author&gt;Magnotti, Louis J&lt;/author&gt;&lt;/authors&gt;&lt;/contributors&gt;&lt;titles&gt;&lt;title&gt;A population-based analysis of neighborhood socioeconomic status and injury admission rates and in-hospital mortality&lt;/title&gt;&lt;secondary-title&gt;Journal of the American College of Surgeons&lt;/secondary-title&gt;&lt;/titles&gt;&lt;pages&gt;216-223&lt;/pages&gt;&lt;volume&gt;211&lt;/volume&gt;&lt;number&gt;2&lt;/number&gt;&lt;dates&gt;&lt;year&gt;2010&lt;/year&gt;&lt;/dates&gt;&lt;isbn&gt;1072-7515&lt;/isbn&gt;&lt;urls&gt;&lt;/urls&gt;&lt;/record&gt;&lt;/Cite&gt;&lt;/EndNote&gt;</w:instrText>
      </w:r>
      <w:r>
        <w:rPr/>
        <w:fldChar w:fldCharType="separate"/>
      </w:r>
      <w:bookmarkStart w:id="141" w:name="__Fieldmark__4663_3765729933"/>
      <w:r>
        <w:rPr/>
      </w:r>
      <w:r>
        <w:rPr>
          <w:rFonts w:ascii="FreeSans" w:hAnsi="FreeSans"/>
          <w:color w:val="000000" w:themeColor="text1"/>
        </w:rPr>
        <w:t>(</w:t>
      </w:r>
      <w:bookmarkStart w:id="142" w:name="__Fieldmark__17082_1677319845"/>
      <w:r>
        <w:rPr>
          <w:rFonts w:ascii="FreeSans" w:hAnsi="FreeSans"/>
          <w:color w:val="000000" w:themeColor="text1"/>
        </w:rPr>
        <w:t>Z</w:t>
      </w:r>
      <w:bookmarkStart w:id="143" w:name="__Fieldmark__1167_2353388183"/>
      <w:r>
        <w:rPr>
          <w:rFonts w:ascii="FreeSans" w:hAnsi="FreeSans"/>
          <w:color w:val="000000" w:themeColor="text1"/>
        </w:rPr>
        <w:t>arzaur et al., 2010)</w:t>
      </w:r>
      <w:r>
        <w:rPr/>
      </w:r>
      <w:r>
        <w:rPr/>
        <w:fldChar w:fldCharType="end"/>
      </w:r>
      <w:bookmarkEnd w:id="141"/>
      <w:bookmarkEnd w:id="142"/>
      <w:bookmarkEnd w:id="143"/>
      <w:r>
        <w:rPr>
          <w:rFonts w:ascii="FreeSans" w:hAnsi="FreeSans"/>
          <w:color w:val="000000" w:themeColor="text1"/>
        </w:rPr>
        <w:t xml:space="preserve"> Other research of hospitalised children has confirmed the relationship between relative socioeconomic disadvantage and transport related injuries. </w:t>
      </w:r>
      <w:r>
        <w:fldChar w:fldCharType="begin"/>
      </w:r>
      <w:r>
        <w:rPr/>
        <w:instrText>ADDIN EN.CITE &lt;EndNote&gt;&lt;Cite&gt;&lt;Author&gt;Poulos&lt;/Author&gt;&lt;Year&gt;2007&lt;/Year&gt;&lt;RecNum&gt;4578&lt;/RecNum&gt;&lt;DisplayText&gt;(Poulos et al., 2007)&lt;/DisplayText&gt;&lt;record&gt;&lt;rec-number&gt;4578&lt;/rec-number&gt;&lt;foreign-keys&gt;&lt;key app="EN" db-id="9atez299nzwaf9eaxt5xxedjf2pp90vsfet5" timestamp="0"&gt;4578&lt;/key&gt;&lt;/foreign-keys&gt;&lt;ref-type name="Journal Article"&gt;17&lt;/ref-type&gt;&lt;contributors&gt;&lt;authors&gt;&lt;author&gt;Poulos, Roslyn&lt;/author&gt;&lt;author&gt;Hayen, Andrew&lt;/author&gt;&lt;author&gt;Finch, Caroline&lt;/author&gt;&lt;author&gt;Zwi, Anthony&lt;/author&gt;&lt;/authors&gt;&lt;/contributors&gt;&lt;titles&gt;&lt;title&gt;Area socioeconomic status and childhood injury morbidity in New South Wales, Australia&lt;/title&gt;&lt;secondary-title&gt;Injury Prevention&lt;/secondary-title&gt;&lt;/titles&gt;&lt;pages&gt;322-327&lt;/pages&gt;&lt;volume&gt;13&lt;/volume&gt;&lt;number&gt;5&lt;/number&gt;&lt;dates&gt;&lt;year&gt;2007&lt;/year&gt;&lt;/dates&gt;&lt;isbn&gt;1353-8047&lt;/isbn&gt;&lt;urls&gt;&lt;/urls&gt;&lt;/record&gt;&lt;/Cite&gt;&lt;/EndNote&gt;</w:instrText>
      </w:r>
      <w:r>
        <w:rPr/>
        <w:fldChar w:fldCharType="separate"/>
      </w:r>
      <w:bookmarkStart w:id="144" w:name="__Fieldmark__4674_3765729933"/>
      <w:r>
        <w:rPr/>
      </w:r>
      <w:r>
        <w:rPr>
          <w:rFonts w:ascii="FreeSans" w:hAnsi="FreeSans"/>
          <w:color w:val="000000" w:themeColor="text1"/>
        </w:rPr>
        <w:t>(</w:t>
      </w:r>
      <w:bookmarkStart w:id="145" w:name="__Fieldmark__17089_1677319845"/>
      <w:r>
        <w:rPr>
          <w:rFonts w:ascii="FreeSans" w:hAnsi="FreeSans"/>
          <w:color w:val="000000" w:themeColor="text1"/>
        </w:rPr>
        <w:t>P</w:t>
      </w:r>
      <w:bookmarkStart w:id="146" w:name="__Fieldmark__1176_2353388183"/>
      <w:r>
        <w:rPr>
          <w:rFonts w:ascii="FreeSans" w:hAnsi="FreeSans"/>
          <w:color w:val="000000" w:themeColor="text1"/>
        </w:rPr>
        <w:t>oulos et al., 2007)</w:t>
      </w:r>
      <w:r>
        <w:rPr/>
      </w:r>
      <w:r>
        <w:rPr/>
        <w:fldChar w:fldCharType="end"/>
      </w:r>
      <w:bookmarkEnd w:id="144"/>
      <w:bookmarkEnd w:id="145"/>
      <w:bookmarkEnd w:id="146"/>
      <w:r>
        <w:rPr>
          <w:rFonts w:ascii="FreeSans" w:hAnsi="FreeSans"/>
          <w:color w:val="000000" w:themeColor="text1"/>
        </w:rPr>
        <w:t>.</w:t>
      </w:r>
    </w:p>
    <w:p>
      <w:pPr>
        <w:pStyle w:val="Normal"/>
        <w:spacing w:lineRule="auto" w:line="360" w:before="240" w:after="0"/>
        <w:jc w:val="both"/>
        <w:rPr/>
      </w:pPr>
      <w:r>
        <w:rPr>
          <w:rFonts w:ascii="FreeSans" w:hAnsi="FreeSans"/>
          <w:color w:val="000000" w:themeColor="text1"/>
        </w:rPr>
        <w:t xml:space="preserve">Contrary to our results, an analysis of hospitalised trauma patients in NSW showed that injury severity did not vary according to rural/urban status, yet the mechanism of injury and the site of severe injury did. Also, road trauma and head injuries were respectively more common in rural areas compared to urban areas.  </w:t>
      </w:r>
      <w:r>
        <w:fldChar w:fldCharType="begin"/>
      </w:r>
      <w:r>
        <w:rPr/>
        <w:instrText>ADDIN EN.CITE</w:instrText>
      </w:r>
      <w:r>
        <w:rPr/>
        <w:fldChar w:fldCharType="separate"/>
      </w:r>
      <w:bookmarkStart w:id="147" w:name="__Fieldmark__4687_3765729933"/>
      <w:r>
        <w:rPr/>
      </w:r>
      <w:r>
        <w:rPr/>
      </w:r>
      <w:r>
        <w:rPr/>
        <w:fldChar w:fldCharType="end"/>
      </w:r>
      <w:r>
        <w:fldChar w:fldCharType="begin"/>
      </w:r>
      <w:r>
        <w:rPr/>
        <w:instrText>ADDIN EN.CITE.DATA</w:instrText>
      </w:r>
      <w:r>
        <w:rPr/>
        <w:fldChar w:fldCharType="separate"/>
      </w:r>
      <w:bookmarkStart w:id="148" w:name="__Fieldmark__17098_1677319845"/>
      <w:bookmarkStart w:id="149" w:name="__Fieldmark__4690_3765729933"/>
      <w:bookmarkEnd w:id="147"/>
      <w:r>
        <w:rPr/>
      </w:r>
      <w:r>
        <w:rPr>
          <w:rFonts w:ascii="FreeSans" w:hAnsi="FreeSans"/>
        </w:rPr>
        <w:t>(</w:t>
      </w:r>
      <w:bookmarkStart w:id="150" w:name="__Fieldmark__17101_1677319845"/>
      <w:bookmarkStart w:id="151" w:name="__Fieldmark__1198_2353388183"/>
      <w:r>
        <w:rPr>
          <w:rFonts w:ascii="FreeSans" w:hAnsi="FreeSans"/>
        </w:rPr>
        <w:t>D</w:t>
      </w:r>
      <w:bookmarkStart w:id="152" w:name="__Fieldmark__1197_2353388183"/>
      <w:r>
        <w:rPr>
          <w:rFonts w:ascii="FreeSans" w:hAnsi="FreeSans"/>
        </w:rPr>
        <w:t>inh et al., 2013)</w:t>
      </w:r>
      <w:r>
        <w:rPr/>
      </w:r>
      <w:r>
        <w:rPr/>
        <w:fldChar w:fldCharType="end"/>
      </w:r>
      <w:bookmarkEnd w:id="148"/>
      <w:bookmarkEnd w:id="149"/>
      <w:bookmarkEnd w:id="150"/>
      <w:bookmarkEnd w:id="151"/>
      <w:bookmarkEnd w:id="152"/>
      <w:r>
        <w:rPr>
          <w:rFonts w:ascii="FreeSans" w:hAnsi="FreeSans"/>
          <w:color w:val="000000" w:themeColor="text1"/>
        </w:rPr>
        <w:t xml:space="preserve"> </w:t>
      </w:r>
    </w:p>
    <w:p>
      <w:pPr>
        <w:pStyle w:val="Normal"/>
        <w:spacing w:lineRule="auto" w:line="360" w:before="240" w:after="0"/>
        <w:jc w:val="both"/>
        <w:rPr/>
      </w:pPr>
      <w:r>
        <w:rPr>
          <w:rFonts w:ascii="FreeSans" w:hAnsi="FreeSans"/>
          <w:color w:val="000000" w:themeColor="text1"/>
        </w:rPr>
        <w:t xml:space="preserve">About 80% of all trauma deaths occur either at the scene, or within a few hours of injury </w:t>
      </w:r>
      <w:r>
        <w:fldChar w:fldCharType="begin"/>
      </w:r>
      <w:r>
        <w:rPr/>
        <w:instrText>ADDIN EN.CITE &lt;EndNote&gt;&lt;Cite&gt;&lt;Author&gt;Trunkey&lt;/Author&gt;&lt;Year&gt;1983&lt;/Year&gt;&lt;RecNum&gt;4580&lt;/RecNum&gt;&lt;DisplayText&gt;(Trunkey, 1983)&lt;/DisplayText&gt;&lt;record&gt;&lt;rec-number&gt;4580&lt;/rec-number&gt;&lt;foreign-keys&gt;&lt;key app="EN" db-id="9atez299nzwaf9eaxt5xxedjf2pp90vsfet5" timestamp="0"&gt;4580&lt;/key&gt;&lt;/foreign-keys&gt;&lt;ref-type name="Journal Article"&gt;17&lt;/ref-type&gt;&lt;contributors&gt;&lt;authors&gt;&lt;author&gt;Trunkey, DD&lt;/author&gt;&lt;/authors&gt;&lt;/contributors&gt;&lt;titles&gt;&lt;title&gt;Accidental and intentional injuries account for more years of life lost in the US than cancer and heart disease. Among the prescribed remedies are improved preventive efforts, speedier surgery and further research&lt;/title&gt;&lt;secondary-title&gt;Sci Am&lt;/secondary-title&gt;&lt;/titles&gt;&lt;pages&gt;28-35&lt;/pages&gt;&lt;volume&gt;249&lt;/volume&gt;&lt;dates&gt;&lt;year&gt;1983&lt;/year&gt;&lt;/dates&gt;&lt;urls&gt;&lt;/urls&gt;&lt;/record&gt;&lt;/Cite&gt;&lt;/EndNote&gt;</w:instrText>
      </w:r>
      <w:r>
        <w:rPr/>
        <w:fldChar w:fldCharType="separate"/>
      </w:r>
      <w:bookmarkStart w:id="153" w:name="__Fieldmark__4706_3765729933"/>
      <w:r>
        <w:rPr/>
      </w:r>
      <w:r>
        <w:rPr>
          <w:rFonts w:ascii="FreeSans" w:hAnsi="FreeSans"/>
        </w:rPr>
        <w:t>(</w:t>
      </w:r>
      <w:bookmarkStart w:id="154" w:name="__Fieldmark__17111_1677319845"/>
      <w:r>
        <w:rPr>
          <w:rFonts w:ascii="FreeSans" w:hAnsi="FreeSans"/>
        </w:rPr>
        <w:t>T</w:t>
      </w:r>
      <w:bookmarkStart w:id="155" w:name="__Fieldmark__1211_2353388183"/>
      <w:r>
        <w:rPr>
          <w:rFonts w:ascii="FreeSans" w:hAnsi="FreeSans"/>
        </w:rPr>
        <w:t>runkey, 1983)</w:t>
      </w:r>
      <w:r>
        <w:rPr/>
      </w:r>
      <w:r>
        <w:rPr/>
        <w:fldChar w:fldCharType="end"/>
      </w:r>
      <w:bookmarkEnd w:id="153"/>
      <w:bookmarkEnd w:id="154"/>
      <w:bookmarkEnd w:id="155"/>
      <w:r>
        <w:rPr>
          <w:rFonts w:ascii="FreeSans" w:hAnsi="FreeSans"/>
          <w:color w:val="000000" w:themeColor="text1"/>
        </w:rPr>
        <w:t xml:space="preserve"> and presumably, in Australia, most of these deaths occur in rural or remote areas. These patients would not be represented on most Trauma Registries. Our sample of hospitalised trauma survivors might explain the non-significant association with injury severity and SES/remoteness, a pattern that has also been reported elsewhere in Australia.</w:t>
      </w:r>
      <w:r>
        <w:rPr>
          <w:rFonts w:ascii="FreeSans" w:hAnsi="FreeSans"/>
        </w:rPr>
        <w:t xml:space="preserve"> </w:t>
      </w:r>
      <w:r>
        <w:fldChar w:fldCharType="begin"/>
      </w:r>
      <w:r>
        <w:rPr/>
        <w:instrText>ADDIN EN.CITE</w:instrText>
      </w:r>
      <w:r>
        <w:rPr/>
        <w:fldChar w:fldCharType="separate"/>
      </w:r>
      <w:bookmarkStart w:id="156" w:name="__Fieldmark__4718_3765729933"/>
      <w:r>
        <w:rPr/>
      </w:r>
      <w:r>
        <w:rPr/>
      </w:r>
      <w:r>
        <w:rPr/>
        <w:fldChar w:fldCharType="end"/>
      </w:r>
      <w:r>
        <w:fldChar w:fldCharType="begin"/>
      </w:r>
      <w:r>
        <w:rPr/>
        <w:instrText>ADDIN EN.CITE.DATA</w:instrText>
      </w:r>
      <w:r>
        <w:rPr/>
        <w:fldChar w:fldCharType="separate"/>
      </w:r>
      <w:bookmarkStart w:id="157" w:name="__Fieldmark__17119_1677319845"/>
      <w:bookmarkStart w:id="158" w:name="__Fieldmark__4721_3765729933"/>
      <w:bookmarkEnd w:id="156"/>
      <w:r>
        <w:rPr/>
      </w:r>
      <w:r>
        <w:rPr>
          <w:rFonts w:ascii="FreeSans" w:hAnsi="FreeSans"/>
        </w:rPr>
        <w:t>(</w:t>
      </w:r>
      <w:bookmarkStart w:id="159" w:name="__Fieldmark__17122_1677319845"/>
      <w:bookmarkStart w:id="160" w:name="__Fieldmark__1228_2353388183"/>
      <w:r>
        <w:rPr>
          <w:rFonts w:ascii="FreeSans" w:hAnsi="FreeSans"/>
        </w:rPr>
        <w:t>D</w:t>
      </w:r>
      <w:bookmarkStart w:id="161" w:name="__Fieldmark__1227_2353388183"/>
      <w:r>
        <w:rPr>
          <w:rFonts w:ascii="FreeSans" w:hAnsi="FreeSans"/>
        </w:rPr>
        <w:t>inh et al., 2013)</w:t>
      </w:r>
      <w:r>
        <w:rPr/>
      </w:r>
      <w:r>
        <w:rPr/>
        <w:fldChar w:fldCharType="end"/>
      </w:r>
      <w:bookmarkEnd w:id="157"/>
      <w:bookmarkEnd w:id="158"/>
      <w:bookmarkEnd w:id="159"/>
      <w:bookmarkEnd w:id="160"/>
      <w:bookmarkEnd w:id="161"/>
      <w:r>
        <w:rPr>
          <w:rFonts w:ascii="FreeSans" w:hAnsi="FreeSans"/>
          <w:color w:val="000000" w:themeColor="text1"/>
        </w:rPr>
        <w:t xml:space="preserve"> Regional hospitals are often the first point of contact for severely injured people in rural areas and evidence is mixed as to whether trauma care regionalisation decreases the risk of adverse outcomes compared with patients who are directly transferred to major trauma centers. </w:t>
      </w:r>
      <w:r>
        <w:fldChar w:fldCharType="begin"/>
      </w:r>
      <w:r>
        <w:rPr/>
        <w:instrText>ADDIN EN.CITE</w:instrText>
      </w:r>
      <w:r>
        <w:rPr/>
        <w:fldChar w:fldCharType="separate"/>
      </w:r>
      <w:bookmarkStart w:id="162" w:name="__Fieldmark__4735_3765729933"/>
      <w:r>
        <w:rPr/>
      </w:r>
      <w:r>
        <w:rPr/>
      </w:r>
      <w:r>
        <w:rPr/>
        <w:fldChar w:fldCharType="end"/>
      </w:r>
      <w:r>
        <w:fldChar w:fldCharType="begin"/>
      </w:r>
      <w:r>
        <w:rPr/>
        <w:instrText>ADDIN EN.CITE.DATA</w:instrText>
      </w:r>
      <w:r>
        <w:rPr/>
        <w:fldChar w:fldCharType="separate"/>
      </w:r>
      <w:bookmarkStart w:id="163" w:name="__Fieldmark__17130_1677319845"/>
      <w:bookmarkStart w:id="164" w:name="__Fieldmark__4738_3765729933"/>
      <w:bookmarkEnd w:id="162"/>
      <w:r>
        <w:rPr/>
      </w:r>
      <w:r>
        <w:rPr>
          <w:rFonts w:ascii="FreeSans" w:hAnsi="FreeSans"/>
          <w:color w:val="000000" w:themeColor="text1"/>
        </w:rPr>
        <w:t>(</w:t>
      </w:r>
      <w:bookmarkStart w:id="165" w:name="__Fieldmark__17133_1677319845"/>
      <w:bookmarkStart w:id="166" w:name="__Fieldmark__1240_2353388183"/>
      <w:r>
        <w:rPr>
          <w:rFonts w:ascii="FreeSans" w:hAnsi="FreeSans"/>
          <w:color w:val="000000" w:themeColor="text1"/>
        </w:rPr>
        <w:t>L</w:t>
      </w:r>
      <w:bookmarkStart w:id="167" w:name="__Fieldmark__1239_2353388183"/>
      <w:r>
        <w:rPr>
          <w:rFonts w:ascii="FreeSans" w:hAnsi="FreeSans"/>
          <w:color w:val="000000" w:themeColor="text1"/>
        </w:rPr>
        <w:t>iberman et al., 2005, Sampalis et al., 1997, Vali et al., 2017)</w:t>
      </w:r>
      <w:r>
        <w:rPr/>
      </w:r>
      <w:r>
        <w:rPr/>
        <w:fldChar w:fldCharType="end"/>
      </w:r>
      <w:bookmarkEnd w:id="163"/>
      <w:bookmarkEnd w:id="164"/>
      <w:bookmarkEnd w:id="165"/>
      <w:bookmarkEnd w:id="166"/>
      <w:bookmarkEnd w:id="167"/>
      <w:r>
        <w:rPr>
          <w:rFonts w:ascii="FreeSans" w:hAnsi="FreeSans"/>
          <w:color w:val="000000" w:themeColor="text1"/>
        </w:rPr>
        <w:t xml:space="preserve"> It is possible that many small, regional hospitals are ill-equipped to manage major trauma. If, as our results suggest, these patients more likely to be more disadvantaged, further empirical research about patterns of care in rationalised trauma systems is required to support this view. </w:t>
      </w:r>
    </w:p>
    <w:p>
      <w:pPr>
        <w:pStyle w:val="Normal"/>
        <w:spacing w:lineRule="auto" w:line="360" w:before="240" w:after="0"/>
        <w:jc w:val="both"/>
        <w:rPr/>
      </w:pPr>
      <w:r>
        <w:rPr>
          <w:rFonts w:ascii="FreeSans" w:hAnsi="FreeSans"/>
          <w:color w:val="000000" w:themeColor="text1"/>
        </w:rPr>
        <w:t>Studies of remoteness and injury patterns in Australia further highlight the importance of interpreting the results in the context of the ‘study setting’. In Western Australian (WA) a significant and positive gradient for trauma deaths according to remoteness has been reported, independent of injury severity, age and time to definitive care, with the findings more pronounced in remote to very remote areas.</w:t>
      </w:r>
      <w:r>
        <w:rPr>
          <w:rFonts w:ascii="FreeSans" w:hAnsi="FreeSans"/>
        </w:rPr>
        <w:t xml:space="preserve"> </w:t>
      </w:r>
      <w:r>
        <w:fldChar w:fldCharType="begin"/>
      </w:r>
      <w:r>
        <w:rPr/>
        <w:instrText>ADDIN EN.CITE &lt;EndNote&gt;&lt;Cite&gt;&lt;Author&gt;Fatovich&lt;/Author&gt;&lt;Year&gt;2009&lt;/Year&gt;&lt;RecNum&gt;4589&lt;/RecNum&gt;&lt;DisplayText&gt;(Fatovich and Jacobs, 2009, Fatovich et al., 2011)&lt;/DisplayText&gt;&lt;record&gt;&lt;rec-number&gt;4589&lt;/rec-number&gt;&lt;foreign-keys&gt;&lt;key app="EN" db-id="9atez299nzwaf9eaxt5xxedjf2pp90vsfet5" timestamp="0"&gt;4589&lt;/key&gt;&lt;/foreign-keys&gt;&lt;ref-type name="Journal Article"&gt;17&lt;/ref-type&gt;&lt;contributors&gt;&lt;authors&gt;&lt;author&gt;Fatovich, Daniel M&lt;/author&gt;&lt;author&gt;Jacobs, Ian G&lt;/author&gt;&lt;/authors&gt;&lt;/contributors&gt;&lt;titles&gt;&lt;title&gt;The relationship between remoteness and trauma deaths in Western Australia&lt;/title&gt;&lt;secondary-title&gt;Journal of Trauma and Acute Care Surgery&lt;/secondary-title&gt;&lt;/titles&gt;&lt;pages&gt;910-914&lt;/pages&gt;&lt;volume&gt;67&lt;/volume&gt;&lt;number&gt;5&lt;/number&gt;&lt;dates&gt;&lt;year&gt;2009&lt;/year&gt;&lt;/dates&gt;&lt;isbn&gt;2163-0755&lt;/isbn&gt;&lt;urls&gt;&lt;/urls&gt;&lt;/record&gt;&lt;/Cite&gt;&lt;Cite&gt;&lt;Author&gt;Fatovich&lt;/Author&gt;&lt;Year&gt;2011&lt;/Year&gt;&lt;RecNum&gt;4590&lt;/RecNum&gt;&lt;record&gt;&lt;rec-number&gt;4590&lt;/rec-number&gt;&lt;foreign-keys&gt;&lt;key app="EN" db-id="9atez299nzwaf9eaxt5xxedjf2pp90vsfet5" timestamp="0"&gt;4590&lt;/key&gt;&lt;/foreign-keys&gt;&lt;ref-type name="Journal Article"&gt;17&lt;/ref-type&gt;&lt;contributors&gt;&lt;authors&gt;&lt;author&gt;Fatovich, Daniel M&lt;/author&gt;&lt;author&gt;Phillips, Michael&lt;/author&gt;&lt;author&gt;Jacobs, Ian G&lt;/author&gt;&lt;author&gt;Langford, Stephen A&lt;/author&gt;&lt;/authors&gt;&lt;/contributors&gt;&lt;titles&gt;&lt;title&gt;Major trauma patients transferred from rural and remote Western Australia by the Royal Flying Doctor Service&lt;/title&gt;&lt;secondary-title&gt;Journal of Trauma and Acute Care Surgery&lt;/secondary-title&gt;&lt;/titles&gt;&lt;pages&gt;1816-1820&lt;/pages&gt;&lt;volume&gt;71&lt;/volume&gt;&lt;number&gt;6&lt;/number&gt;&lt;dates&gt;&lt;year&gt;2011&lt;/year&gt;&lt;/dates&gt;&lt;isbn&gt;2163-0755&lt;/isbn&gt;&lt;urls&gt;&lt;/urls&gt;&lt;/record&gt;&lt;/Cite&gt;&lt;/EndNote&gt;</w:instrText>
      </w:r>
      <w:r>
        <w:rPr/>
        <w:fldChar w:fldCharType="separate"/>
      </w:r>
      <w:bookmarkStart w:id="168" w:name="__Fieldmark__4755_3765729933"/>
      <w:r>
        <w:rPr/>
      </w:r>
      <w:r>
        <w:rPr>
          <w:rFonts w:ascii="FreeSans" w:hAnsi="FreeSans"/>
        </w:rPr>
        <w:t>(</w:t>
      </w:r>
      <w:bookmarkStart w:id="169" w:name="__Fieldmark__17144_1677319845"/>
      <w:r>
        <w:rPr>
          <w:rFonts w:ascii="FreeSans" w:hAnsi="FreeSans"/>
        </w:rPr>
        <w:t>F</w:t>
      </w:r>
      <w:bookmarkStart w:id="170" w:name="__Fieldmark__1253_2353388183"/>
      <w:r>
        <w:rPr>
          <w:rFonts w:ascii="FreeSans" w:hAnsi="FreeSans"/>
        </w:rPr>
        <w:t>atovich and Jacobs, 2009, Fatovich et al., 2011)</w:t>
      </w:r>
      <w:r>
        <w:rPr/>
      </w:r>
      <w:r>
        <w:rPr/>
        <w:fldChar w:fldCharType="end"/>
      </w:r>
      <w:bookmarkEnd w:id="168"/>
      <w:bookmarkEnd w:id="169"/>
      <w:bookmarkEnd w:id="170"/>
      <w:r>
        <w:rPr>
          <w:rFonts w:ascii="FreeSans" w:hAnsi="FreeSans"/>
          <w:color w:val="000000" w:themeColor="text1"/>
        </w:rPr>
        <w:t xml:space="preserve"> WA differs from most of the other States as it has vast areas of remoteness and only one tertiary trauma centre in Perth. Transferral of severe trauma cases often involves travel distances of thousands of kilometres. </w:t>
      </w:r>
      <w:r>
        <w:fldChar w:fldCharType="begin"/>
      </w:r>
      <w:r>
        <w:rPr/>
        <w:instrText>ADDIN EN.CITE &lt;EndNote&gt;&lt;Cite&gt;&lt;Author&gt;Fatovich&lt;/Author&gt;&lt;Year&gt;2009&lt;/Year&gt;&lt;RecNum&gt;4589&lt;/RecNum&gt;&lt;DisplayText&gt;(Fatovich and Jacobs, 2009)&lt;/DisplayText&gt;&lt;record&gt;&lt;rec-number&gt;4589&lt;/rec-number&gt;&lt;foreign-keys&gt;&lt;key app="EN" db-id="9atez299nzwaf9eaxt5xxedjf2pp90vsfet5" timestamp="0"&gt;4589&lt;/key&gt;&lt;/foreign-keys&gt;&lt;ref-type name="Journal Article"&gt;17&lt;/ref-type&gt;&lt;contributors&gt;&lt;authors&gt;&lt;author&gt;Fatovich, Daniel M&lt;/author&gt;&lt;author&gt;Jacobs, Ian G&lt;/author&gt;&lt;/authors&gt;&lt;/contributors&gt;&lt;titles&gt;&lt;title&gt;The relationship between remoteness and trauma deaths in Western Australia&lt;/title&gt;&lt;secondary-title&gt;Journal of Trauma and Acute Care Surgery&lt;/secondary-title&gt;&lt;/titles&gt;&lt;pages&gt;910-914&lt;/pages&gt;&lt;volume&gt;67&lt;/volume&gt;&lt;number&gt;5&lt;/number&gt;&lt;dates&gt;&lt;year&gt;2009&lt;/year&gt;&lt;/dates&gt;&lt;isbn&gt;2163-0755&lt;/isbn&gt;&lt;urls&gt;&lt;/urls&gt;&lt;/record&gt;&lt;/Cite&gt;&lt;/EndNote&gt;</w:instrText>
      </w:r>
      <w:r>
        <w:rPr/>
        <w:fldChar w:fldCharType="separate"/>
      </w:r>
      <w:bookmarkStart w:id="171" w:name="__Fieldmark__4766_3765729933"/>
      <w:r>
        <w:rPr/>
      </w:r>
      <w:r>
        <w:rPr>
          <w:rFonts w:ascii="FreeSans" w:hAnsi="FreeSans"/>
          <w:color w:val="000000" w:themeColor="text1"/>
        </w:rPr>
        <w:t>(</w:t>
      </w:r>
      <w:bookmarkStart w:id="172" w:name="__Fieldmark__17151_1677319845"/>
      <w:r>
        <w:rPr>
          <w:rFonts w:ascii="FreeSans" w:hAnsi="FreeSans"/>
          <w:color w:val="000000" w:themeColor="text1"/>
        </w:rPr>
        <w:t>F</w:t>
      </w:r>
      <w:bookmarkStart w:id="173" w:name="__Fieldmark__1260_2353388183"/>
      <w:r>
        <w:rPr>
          <w:rFonts w:ascii="FreeSans" w:hAnsi="FreeSans"/>
          <w:color w:val="000000" w:themeColor="text1"/>
        </w:rPr>
        <w:t>atovich and Jacobs, 2009)</w:t>
      </w:r>
      <w:r>
        <w:rPr/>
      </w:r>
      <w:r>
        <w:rPr/>
        <w:fldChar w:fldCharType="end"/>
      </w:r>
      <w:bookmarkEnd w:id="171"/>
      <w:bookmarkEnd w:id="172"/>
      <w:bookmarkEnd w:id="173"/>
      <w:r>
        <w:rPr>
          <w:rFonts w:ascii="FreeSans" w:hAnsi="FreeSans"/>
          <w:color w:val="000000" w:themeColor="text1"/>
        </w:rPr>
        <w:t xml:space="preserve"> Hence, the geographical characteristics of WA are quite different to our study setting, which straddles the NSW and Qld border and where most of the population lived in major cities or ‘inner regional’ areas. Distance to definitive care is vastly less here, compared to those injured in WA. However, the WA study supports the concept that remoteness is more than just a ‘distance’ measure to services, but most likely reflects the social, environmental and economic fabric of neighbourhoods that differentially expose people to injury risk.  </w:t>
      </w:r>
    </w:p>
    <w:p>
      <w:pPr>
        <w:pStyle w:val="Normal"/>
        <w:spacing w:lineRule="auto" w:line="360" w:before="240" w:after="0"/>
        <w:jc w:val="both"/>
        <w:rPr>
          <w:rFonts w:ascii="FreeSans" w:hAnsi="FreeSans"/>
        </w:rPr>
      </w:pPr>
      <w:r>
        <w:rPr>
          <w:rFonts w:eastAsia="" w:cs="" w:ascii="FreeSans" w:hAnsi="FreeSans" w:cstheme="majorBidi" w:eastAsiaTheme="majorEastAsia"/>
          <w:b/>
          <w:color w:val="000000" w:themeShade="bf"/>
          <w:kern w:val="0"/>
          <w:sz w:val="32"/>
          <w:szCs w:val="32"/>
          <w:lang w:val="en-GB" w:eastAsia="zh-CN" w:bidi="ar-SA"/>
        </w:rPr>
        <w:t>Limitations</w:t>
      </w:r>
    </w:p>
    <w:p>
      <w:pPr>
        <w:pStyle w:val="Normal"/>
        <w:spacing w:lineRule="auto" w:line="360" w:before="0" w:after="0"/>
        <w:jc w:val="both"/>
        <w:rPr>
          <w:color w:val="000000" w:themeColor="text1"/>
        </w:rPr>
      </w:pPr>
      <w:r>
        <w:rPr>
          <w:rFonts w:ascii="FreeSans" w:hAnsi="FreeSans"/>
        </w:rPr>
        <w:t xml:space="preserve">Multiple, interacting </w:t>
      </w:r>
      <w:r>
        <w:rPr>
          <w:rFonts w:ascii="FreeSans" w:hAnsi="FreeSans"/>
          <w:color w:val="000000" w:themeColor="text1"/>
        </w:rPr>
        <w:t>ecological factors underlie the expression of individual behaviours and provide a framework for understanding the socioeconomically disadvantaged communities in which people live. (Susser 1996) The ecological fallacy is also an important consideration where area-level SES exposure was used as a proxy for individual SES status, limiting our ability to account for factors that confound the relationship between an individual’s SES and injury patterns. However, the IRSD is a widely used and robust index of SES in Australia. As a multi-faceted measure, it appropriately captures the community context, particularly its wealth, which in turn influences the quality of municipal services, road conditions, crime rates and access to material resources that could mitigate injury risk.</w:t>
      </w:r>
    </w:p>
    <w:p>
      <w:pPr>
        <w:pStyle w:val="Normal"/>
        <w:spacing w:lineRule="auto" w:line="360" w:before="240" w:after="0"/>
        <w:jc w:val="both"/>
        <w:rPr/>
      </w:pPr>
      <w:r>
        <w:rPr>
          <w:rFonts w:ascii="FreeSans" w:hAnsi="FreeSans"/>
          <w:color w:val="000000" w:themeColor="text1"/>
        </w:rPr>
        <w:t xml:space="preserve">Trauma patients who survive serious injuries to receive definitive trauma care at a Level 1 Trauma Centre represent a unique, highly select group of severe trauma survivors and care should be taken in terms of extrapolating these findings to all cases of traumatic injuries in other settings. Arguably, the many different dimensions of SES are specific to time and place. </w:t>
      </w:r>
      <w:r>
        <w:fldChar w:fldCharType="begin"/>
      </w:r>
      <w:r>
        <w:rPr/>
        <w:instrText>ADDIN EN.CITE &lt;EndNote&gt;&lt;Cite&gt;&lt;Author&gt;Braveman&lt;/Author&gt;&lt;Year&gt;2005&lt;/Year&gt;&lt;RecNum&gt;4585&lt;/RecNum&gt;&lt;DisplayText&gt;(Braveman et al., 2005)&lt;/DisplayText&gt;&lt;record&gt;&lt;rec-number&gt;4585&lt;/rec-number&gt;&lt;foreign-keys&gt;&lt;key app="EN" db-id="9atez299nzwaf9eaxt5xxedjf2pp90vsfet5" timestamp="0"&gt;4585&lt;/key&gt;&lt;/foreign-keys&gt;&lt;ref-type name="Journal Article"&gt;17&lt;/ref-type&gt;&lt;contributors&gt;&lt;authors&gt;&lt;author&gt;Braveman, Paula A&lt;/author&gt;&lt;author&gt;Cubbin, Catherine&lt;/author&gt;&lt;author&gt;Egerter, Susan&lt;/author&gt;&lt;author&gt;Chideya, Sekai&lt;/author&gt;&lt;author&gt;Marchi, Kristen S&lt;/author&gt;&lt;author&gt;Metzler, Marilyn&lt;/author&gt;&lt;author&gt;Posner, Samuel&lt;/author&gt;&lt;/authors&gt;&lt;/contributors&gt;&lt;titles&gt;&lt;title&gt;Socioeconomic status in health research: one size does not fit all&lt;/title&gt;&lt;secondary-title&gt;Jama&lt;/secondary-title&gt;&lt;/titles&gt;&lt;pages&gt;2879-2888&lt;/pages&gt;&lt;volume&gt;294&lt;/volume&gt;&lt;number&gt;22&lt;/number&gt;&lt;dates&gt;&lt;year&gt;2005&lt;/year&gt;&lt;/dates&gt;&lt;isbn&gt;0098-7484&lt;/isbn&gt;&lt;urls&gt;&lt;/urls&gt;&lt;/record&gt;&lt;/Cite&gt;&lt;/EndNote&gt;</w:instrText>
      </w:r>
      <w:r>
        <w:rPr/>
        <w:fldChar w:fldCharType="separate"/>
      </w:r>
      <w:bookmarkStart w:id="174" w:name="__Fieldmark__4782_3765729933"/>
      <w:r>
        <w:rPr/>
      </w:r>
      <w:r>
        <w:rPr>
          <w:rFonts w:ascii="FreeSans" w:hAnsi="FreeSans"/>
          <w:color w:val="000000" w:themeColor="text1"/>
        </w:rPr>
        <w:t>(</w:t>
      </w:r>
      <w:bookmarkStart w:id="175" w:name="__Fieldmark__17163_1677319845"/>
      <w:r>
        <w:rPr>
          <w:rFonts w:ascii="FreeSans" w:hAnsi="FreeSans"/>
          <w:color w:val="000000" w:themeColor="text1"/>
        </w:rPr>
        <w:t>B</w:t>
      </w:r>
      <w:bookmarkStart w:id="176" w:name="__Fieldmark__1296_2353388183"/>
      <w:r>
        <w:rPr>
          <w:rFonts w:ascii="FreeSans" w:hAnsi="FreeSans"/>
          <w:color w:val="000000" w:themeColor="text1"/>
        </w:rPr>
        <w:t>raveman et al., 2005)</w:t>
      </w:r>
      <w:r>
        <w:rPr/>
      </w:r>
      <w:r>
        <w:rPr/>
        <w:fldChar w:fldCharType="end"/>
      </w:r>
      <w:bookmarkEnd w:id="174"/>
      <w:bookmarkEnd w:id="175"/>
      <w:bookmarkEnd w:id="176"/>
      <w:r>
        <w:rPr>
          <w:rFonts w:ascii="FreeSans" w:hAnsi="FreeSans"/>
          <w:color w:val="000000" w:themeColor="text1"/>
        </w:rPr>
        <w:t xml:space="preserve"> In terms of acute serious trauma, there are numerous, unmeasured confounding factors in place, particularly in relation to known variations in patterns of pre-tertiary care, care given by the ‘first provider’ along with different types of transportation modalities to the Trauma Centre. Trauma systems are State-based and the extent of cross-border variations in trauma referrals and management are not known.  The characteristics of our hospital sample might not be comparable with the findings of other studies.</w:t>
      </w:r>
    </w:p>
    <w:p>
      <w:pPr>
        <w:pStyle w:val="Normal"/>
        <w:spacing w:lineRule="auto" w:line="360" w:before="240" w:after="0"/>
        <w:jc w:val="both"/>
        <w:rPr>
          <w:rFonts w:ascii="FreeSans" w:hAnsi="FreeSans"/>
        </w:rPr>
      </w:pPr>
      <w:r>
        <w:rPr>
          <w:rFonts w:ascii="FreeSans" w:hAnsi="FreeSans"/>
          <w:color w:val="000000" w:themeColor="text1"/>
        </w:rPr>
        <w:t xml:space="preserve">Compared to other studies our sample size was relatively small and it is possible that our study lacked sufficient study power to detect real differences if any existed. Additionally, we could not examine SES in relation to people living in remote or very remote areas, or the impact of race on these associations. Aboriginal people are more likely to live in regional areas and have higher rates of disadvantage. </w:t>
      </w:r>
    </w:p>
    <w:p>
      <w:pPr>
        <w:pStyle w:val="Normal"/>
        <w:spacing w:lineRule="auto" w:line="360" w:before="240" w:after="0"/>
        <w:jc w:val="both"/>
        <w:rPr>
          <w:rFonts w:ascii="FreeSans" w:hAnsi="FreeSans"/>
        </w:rPr>
      </w:pPr>
      <w:r>
        <w:rPr>
          <w:rFonts w:eastAsia="" w:cs="" w:ascii="FreeSans" w:hAnsi="FreeSans" w:cstheme="majorBidi" w:eastAsiaTheme="majorEastAsia"/>
          <w:b/>
          <w:color w:val="000000" w:themeShade="bf"/>
          <w:kern w:val="0"/>
          <w:sz w:val="32"/>
          <w:szCs w:val="32"/>
          <w:lang w:val="en-GB" w:eastAsia="zh-CN" w:bidi="ar-SA"/>
        </w:rPr>
        <w:t>Conclusions</w:t>
      </w:r>
    </w:p>
    <w:p>
      <w:pPr>
        <w:pStyle w:val="Normal"/>
        <w:spacing w:lineRule="auto" w:line="360" w:before="0" w:after="0"/>
        <w:rPr>
          <w:lang w:val="en-GB"/>
        </w:rPr>
      </w:pPr>
      <w:r>
        <w:rPr>
          <w:rFonts w:ascii="FreeSans" w:hAnsi="FreeSans"/>
          <w:lang w:val="en-GB"/>
        </w:rPr>
        <w:t xml:space="preserve">Severely injured trauma patients who are from social and economically disadvantaged communities are more likely to reside in areas that have comparatively less access to service centres. They tend to have more comorbidities and have received initial trauma care from a regional hospital, mostly located in NSW rather than the Trauma Centre located in QLD. These factors are all potentially important in terms of understanding variations in trauma outcomes in this study region. Studies of social and economic disadvantage in relation to injury risk and outcomes should include measures of co-morbidity, the first provider of care and remoteness of residence, in addition to injury location. </w:t>
      </w:r>
    </w:p>
    <w:p>
      <w:pPr>
        <w:pStyle w:val="Normal"/>
        <w:spacing w:lineRule="auto" w:line="360"/>
        <w:rPr>
          <w:rFonts w:ascii="FreeSans" w:hAnsi="FreeSans" w:eastAsia="" w:eastAsiaTheme="majorEastAsia"/>
          <w:b/>
          <w:b/>
          <w:color w:val="000000" w:themeColor="text1"/>
          <w:sz w:val="28"/>
          <w:lang w:val="en-GB"/>
        </w:rPr>
      </w:pPr>
      <w:r>
        <w:rPr>
          <w:rFonts w:eastAsia="" w:eastAsiaTheme="majorEastAsia" w:ascii="FreeSans" w:hAnsi="FreeSans"/>
          <w:b/>
          <w:color w:val="000000" w:themeColor="text1"/>
          <w:sz w:val="28"/>
          <w:lang w:val="en-GB"/>
        </w:rPr>
      </w:r>
    </w:p>
    <w:p>
      <w:pPr>
        <w:pStyle w:val="Heading1"/>
        <w:spacing w:lineRule="auto" w:line="480"/>
        <w:rPr>
          <w:rFonts w:ascii="FreeSans" w:hAnsi="FreeSans"/>
        </w:rPr>
      </w:pPr>
      <w:r>
        <w:rPr>
          <w:lang w:val="en-GB"/>
        </w:rPr>
        <w:t>References</w:t>
      </w:r>
    </w:p>
    <w:p>
      <w:pPr>
        <w:pStyle w:val="EndNoteBibliography"/>
        <w:ind w:left="720" w:hanging="720"/>
        <w:rPr/>
      </w:pPr>
      <w:r>
        <w:fldChar w:fldCharType="begin"/>
      </w:r>
      <w:r>
        <w:rPr/>
        <w:instrText>ADDIN EN.REFLIST</w:instrText>
      </w:r>
      <w:r>
        <w:rPr/>
        <w:fldChar w:fldCharType="separate"/>
      </w:r>
      <w:bookmarkStart w:id="177" w:name="__Fieldmark__4798_3765729933"/>
      <w:r>
        <w:rPr/>
      </w:r>
      <w:r>
        <w:rPr>
          <w:rFonts w:ascii="FreeSans" w:hAnsi="FreeSans"/>
        </w:rPr>
        <w:t>AI</w:t>
      </w:r>
      <w:bookmarkStart w:id="178" w:name="__Fieldmark__1330_2353388183"/>
      <w:r>
        <w:rPr>
          <w:rFonts w:ascii="FreeSans" w:hAnsi="FreeSans"/>
        </w:rPr>
        <w:t xml:space="preserve">HW(B) 2016. Australia's Health 2016. </w:t>
      </w:r>
      <w:r>
        <w:rPr>
          <w:rFonts w:ascii="FreeSans" w:hAnsi="FreeSans"/>
          <w:i/>
        </w:rPr>
        <w:t>In:</w:t>
      </w:r>
      <w:r>
        <w:rPr>
          <w:rFonts w:ascii="FreeSans" w:hAnsi="FreeSans"/>
        </w:rPr>
        <w:t xml:space="preserve"> SERIES, A. H. (ed.). Canberra: AIHW.</w:t>
      </w:r>
      <w:r>
        <w:rPr>
          <w:rFonts w:ascii="FreeSans" w:hAnsi="FreeSans"/>
        </w:rPr>
      </w:r>
      <w:r>
        <w:rPr>
          <w:rFonts w:ascii="FreeSans" w:hAnsi="FreeSans"/>
        </w:rPr>
        <w:fldChar w:fldCharType="end"/>
      </w:r>
      <w:bookmarkEnd w:id="177"/>
    </w:p>
    <w:p>
      <w:pPr>
        <w:pStyle w:val="EndNoteBibliography"/>
        <w:ind w:left="720" w:hanging="720"/>
        <w:rPr>
          <w:rFonts w:ascii="FreeSans" w:hAnsi="FreeSans"/>
        </w:rPr>
      </w:pPr>
      <w:r>
        <w:rPr>
          <w:rFonts w:ascii="FreeSans" w:hAnsi="FreeSans"/>
        </w:rPr>
      </w:r>
      <w:bookmarkStart w:id="179" w:name="__Fieldmark__17175_1677319845"/>
      <w:bookmarkStart w:id="180" w:name="__Fieldmark__17175_1677319845"/>
      <w:bookmarkEnd w:id="178"/>
      <w:bookmarkEnd w:id="180"/>
    </w:p>
    <w:p>
      <w:pPr>
        <w:pStyle w:val="EndNoteBibliography"/>
        <w:ind w:left="720" w:hanging="720"/>
        <w:rPr>
          <w:rFonts w:ascii="FreeSans" w:hAnsi="FreeSans"/>
        </w:rPr>
      </w:pPr>
      <w:r>
        <w:rPr>
          <w:rFonts w:ascii="FreeSans" w:hAnsi="FreeSans"/>
        </w:rPr>
        <w:t xml:space="preserve">ALI, M. T. B. S., HUI, X. M. D. S., HASHMI, Z. G. M., DHIMAN, N. B. S. B. A., SCOTT, V. K. M., EFRON, D. T. M. D. F., SCHNEIDER, E. B. P. &amp; HAIDER, A. H. M. D. M. P. H. F. 2013. Socioeconomic disparity in inpatient mortality after traumatic injury in adults. </w:t>
      </w:r>
      <w:r>
        <w:rPr>
          <w:rFonts w:ascii="FreeSans" w:hAnsi="FreeSans"/>
          <w:i/>
        </w:rPr>
        <w:t>Surgery: Official Journal of the Society of University Surgeons, Central Surgical Association, and the American Association of Endocrine Surgeons,</w:t>
      </w:r>
      <w:r>
        <w:rPr>
          <w:rFonts w:ascii="FreeSans" w:hAnsi="FreeSans"/>
        </w:rPr>
        <w:t xml:space="preserve"> 154</w:t>
      </w:r>
      <w:r>
        <w:rPr>
          <w:rFonts w:ascii="FreeSans" w:hAnsi="FreeSans"/>
          <w:b/>
        </w:rPr>
        <w:t>,</w:t>
      </w:r>
      <w:r>
        <w:rPr>
          <w:rFonts w:ascii="FreeSans" w:hAnsi="FreeSans"/>
        </w:rPr>
        <w:t xml:space="preserve"> 461-467.</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AUSTRALIAN BUREAU OF STATISTICS. 2011. </w:t>
      </w:r>
      <w:r>
        <w:rPr>
          <w:rFonts w:ascii="FreeSans" w:hAnsi="FreeSans"/>
          <w:i/>
        </w:rPr>
        <w:t xml:space="preserve">Socio-economic indexes for areas: getting a handle on individual diversity with areas Sept. 2011 : research paper, </w:t>
      </w:r>
      <w:r>
        <w:rPr>
          <w:rFonts w:ascii="FreeSans" w:hAnsi="FreeSans"/>
        </w:rPr>
        <w:t>Canberra - eBook, Australian Bureau of Statistics.</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AUSTRALIAN BUREAU OF STATISTICS. 2012. </w:t>
      </w:r>
      <w:r>
        <w:rPr>
          <w:rFonts w:ascii="FreeSans" w:hAnsi="FreeSans"/>
          <w:i/>
        </w:rPr>
        <w:t xml:space="preserve">Socio-economic indexes for areas: robustness, diversity within larger areas and the new geography standard : research paper, </w:t>
      </w:r>
      <w:r>
        <w:rPr>
          <w:rFonts w:ascii="FreeSans" w:hAnsi="FreeSans"/>
        </w:rPr>
        <w:t>Canberra - eBook, Australian Bureau of Statistics.</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AUSTRALIAN BUREAU OF STATISTICS. ANALYTICAL SERVICES, B. 2011. </w:t>
      </w:r>
      <w:r>
        <w:rPr>
          <w:rFonts w:ascii="FreeSans" w:hAnsi="FreeSans"/>
          <w:i/>
        </w:rPr>
        <w:t xml:space="preserve">Australian Statistical Geography Standard (ASGS): Volume 5 - Remoteness Structure, July 2011 </w:t>
      </w:r>
      <w:r>
        <w:rPr>
          <w:rFonts w:ascii="FreeSans" w:hAnsi="FreeSans"/>
        </w:rPr>
        <w:t>[Online].  [Accessed October 2018].</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BRATTSTRÖM, O., ERIKSSON, M., LARSSON, E. &amp; OLDNER, A. 2015. Socio-economic status and co-morbidity as risk factors for trauma. </w:t>
      </w:r>
      <w:r>
        <w:rPr>
          <w:rFonts w:ascii="FreeSans" w:hAnsi="FreeSans"/>
          <w:i/>
        </w:rPr>
        <w:t>European Journal of Epidemiology,</w:t>
      </w:r>
      <w:r>
        <w:rPr>
          <w:rFonts w:ascii="FreeSans" w:hAnsi="FreeSans"/>
        </w:rPr>
        <w:t xml:space="preserve"> 30</w:t>
      </w:r>
      <w:r>
        <w:rPr>
          <w:rFonts w:ascii="FreeSans" w:hAnsi="FreeSans"/>
          <w:b/>
        </w:rPr>
        <w:t>,</w:t>
      </w:r>
      <w:r>
        <w:rPr>
          <w:rFonts w:ascii="FreeSans" w:hAnsi="FreeSans"/>
        </w:rPr>
        <w:t xml:space="preserve"> 151-157.</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BRAVEMAN, P. A., CUBBIN, C., EGERTER, S., CHIDEYA, S., MARCHI, K. S., METZLER, M. &amp; POSNER, S. 2005. Socioeconomic status in health research: one size does not fit all. </w:t>
      </w:r>
      <w:r>
        <w:rPr>
          <w:rFonts w:ascii="FreeSans" w:hAnsi="FreeSans"/>
          <w:i/>
        </w:rPr>
        <w:t>JAMA</w:t>
      </w:r>
      <w:bookmarkStart w:id="181" w:name="_GoBack"/>
      <w:bookmarkEnd w:id="181"/>
      <w:r>
        <w:rPr>
          <w:rFonts w:ascii="FreeSans" w:hAnsi="FreeSans"/>
          <w:i/>
        </w:rPr>
        <w:t>,</w:t>
      </w:r>
      <w:r>
        <w:rPr>
          <w:rFonts w:ascii="FreeSans" w:hAnsi="FreeSans"/>
        </w:rPr>
        <w:t xml:space="preserve"> 294</w:t>
      </w:r>
      <w:r>
        <w:rPr>
          <w:rFonts w:ascii="FreeSans" w:hAnsi="FreeSans"/>
          <w:b/>
        </w:rPr>
        <w:t>,</w:t>
      </w:r>
      <w:r>
        <w:rPr>
          <w:rFonts w:ascii="FreeSans" w:hAnsi="FreeSans"/>
        </w:rPr>
        <w:t xml:space="preserve"> 2879-2888.</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CELSO, B., TEPAS, J., LANGLAND-ORBAN, B., PRACHT, E., PAPA, L., LOTTENBERG, L. &amp; FLINT, L. 2006. A systematic review and meta-analysis comparing outcome of severely injured patients treated in trauma centers following the establishment of trauma systems. </w:t>
      </w:r>
      <w:r>
        <w:rPr>
          <w:rFonts w:ascii="FreeSans" w:hAnsi="FreeSans"/>
          <w:i/>
        </w:rPr>
        <w:t>Journal of Trauma and Acute Care Surgery,</w:t>
      </w:r>
      <w:r>
        <w:rPr>
          <w:rFonts w:ascii="FreeSans" w:hAnsi="FreeSans"/>
        </w:rPr>
        <w:t xml:space="preserve"> 60</w:t>
      </w:r>
      <w:r>
        <w:rPr>
          <w:rFonts w:ascii="FreeSans" w:hAnsi="FreeSans"/>
          <w:b/>
        </w:rPr>
        <w:t>,</w:t>
      </w:r>
      <w:r>
        <w:rPr>
          <w:rFonts w:ascii="FreeSans" w:hAnsi="FreeSans"/>
        </w:rPr>
        <w:t xml:space="preserve"> 371-378.</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CHEN, H. Y., IVERS, R. Q., MARTINIUK, A. L. C., BOUFOUS, S., SENSERRICK, T., WOODWARD, M., STEVENSON, M. &amp; NORTON, R. 2010. Socioeconomic status and risk of car crash injury, independent of place of residence and driving exposure: results from the DRIVE Study. </w:t>
      </w:r>
      <w:r>
        <w:rPr>
          <w:rFonts w:ascii="FreeSans" w:hAnsi="FreeSans"/>
          <w:i/>
        </w:rPr>
        <w:t>Journal of Epidemiology and Community Health (1979-),</w:t>
      </w:r>
      <w:r>
        <w:rPr>
          <w:rFonts w:ascii="FreeSans" w:hAnsi="FreeSans"/>
        </w:rPr>
        <w:t xml:space="preserve"> 64</w:t>
      </w:r>
      <w:r>
        <w:rPr>
          <w:rFonts w:ascii="FreeSans" w:hAnsi="FreeSans"/>
          <w:b/>
        </w:rPr>
        <w:t>,</w:t>
      </w:r>
      <w:r>
        <w:rPr>
          <w:rFonts w:ascii="FreeSans" w:hAnsi="FreeSans"/>
        </w:rPr>
        <w:t xml:space="preserve"> 998-1003.</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CUBBIN, C., LECLERE, F. B. &amp; SMITH, G. S. 2000a. Socioeconomic Status and Injury Mortality: Individual and Neighbourhood Determinants. </w:t>
      </w:r>
      <w:r>
        <w:rPr>
          <w:rFonts w:ascii="FreeSans" w:hAnsi="FreeSans"/>
          <w:i/>
        </w:rPr>
        <w:t>Journal of Epidemiology and Community Health (1979-),</w:t>
      </w:r>
      <w:r>
        <w:rPr>
          <w:rFonts w:ascii="FreeSans" w:hAnsi="FreeSans"/>
        </w:rPr>
        <w:t xml:space="preserve"> 54</w:t>
      </w:r>
      <w:r>
        <w:rPr>
          <w:rFonts w:ascii="FreeSans" w:hAnsi="FreeSans"/>
          <w:b/>
        </w:rPr>
        <w:t>,</w:t>
      </w:r>
      <w:r>
        <w:rPr>
          <w:rFonts w:ascii="FreeSans" w:hAnsi="FreeSans"/>
        </w:rPr>
        <w:t xml:space="preserve"> 517-524.</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CUBBIN, C., LECLERE, F. B. &amp; SMITH, G. S. 2000b. Socioeconomic status and the occurrence of fatal and nonfatal injury in the United States. </w:t>
      </w:r>
      <w:r>
        <w:rPr>
          <w:rFonts w:ascii="FreeSans" w:hAnsi="FreeSans"/>
          <w:i/>
        </w:rPr>
        <w:t>American Journal of Public Health,</w:t>
      </w:r>
      <w:r>
        <w:rPr>
          <w:rFonts w:ascii="FreeSans" w:hAnsi="FreeSans"/>
        </w:rPr>
        <w:t xml:space="preserve"> 90</w:t>
      </w:r>
      <w:r>
        <w:rPr>
          <w:rFonts w:ascii="FreeSans" w:hAnsi="FreeSans"/>
          <w:b/>
        </w:rPr>
        <w:t>,</w:t>
      </w:r>
      <w:r>
        <w:rPr>
          <w:rFonts w:ascii="FreeSans" w:hAnsi="FreeSans"/>
        </w:rPr>
        <w:t xml:space="preserve"> 70-77.</w:t>
      </w:r>
    </w:p>
    <w:p>
      <w:pPr>
        <w:pStyle w:val="EndNoteBibliography"/>
        <w:ind w:left="720" w:hanging="720"/>
        <w:rPr>
          <w:rFonts w:ascii="FreeSans" w:hAnsi="FreeSans"/>
        </w:rPr>
      </w:pPr>
      <w:r>
        <w:rPr>
          <w:rFonts w:ascii="FreeSans" w:hAnsi="FreeSans"/>
        </w:rPr>
        <w:t xml:space="preserve">CUBBIN, C. &amp; SMITH, G. S. 2002. Socioeconomic Inequalities in Injury: Critical Issues in Design and Analysis. </w:t>
      </w:r>
      <w:r>
        <w:rPr>
          <w:rFonts w:ascii="FreeSans" w:hAnsi="FreeSans"/>
          <w:i/>
        </w:rPr>
        <w:t>Annual Review of Public Health,</w:t>
      </w:r>
      <w:r>
        <w:rPr>
          <w:rFonts w:ascii="FreeSans" w:hAnsi="FreeSans"/>
        </w:rPr>
        <w:t xml:space="preserve"> 23</w:t>
      </w:r>
      <w:r>
        <w:rPr>
          <w:rFonts w:ascii="FreeSans" w:hAnsi="FreeSans"/>
          <w:b/>
        </w:rPr>
        <w:t>,</w:t>
      </w:r>
      <w:r>
        <w:rPr>
          <w:rFonts w:ascii="FreeSans" w:hAnsi="FreeSans"/>
        </w:rPr>
        <w:t xml:space="preserve"> 349-375.</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DINH, M. M., BEIN, K. J., GABBE, B. J., BYRNE, C. M., PETCHELL, J., LO, S. &amp; IVERS, R. 2013. A trauma quality improvement programme associated with improved patient outcomes: 21 years of experience at an Australian Major Trauma Centre. </w:t>
      </w:r>
      <w:r>
        <w:rPr>
          <w:rFonts w:ascii="FreeSans" w:hAnsi="FreeSans"/>
          <w:i/>
        </w:rPr>
        <w:t>Injury,</w:t>
      </w:r>
      <w:r>
        <w:rPr>
          <w:rFonts w:ascii="FreeSans" w:hAnsi="FreeSans"/>
        </w:rPr>
        <w:t xml:space="preserve"> 45</w:t>
      </w:r>
      <w:r>
        <w:rPr>
          <w:rFonts w:ascii="FreeSans" w:hAnsi="FreeSans"/>
          <w:b/>
        </w:rPr>
        <w:t>,</w:t>
      </w:r>
      <w:r>
        <w:rPr>
          <w:rFonts w:ascii="FreeSans" w:hAnsi="FreeSans"/>
        </w:rPr>
        <w:t xml:space="preserve"> 830-834.</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DUNCAN, C., JONES, K. &amp; MOON, G. 1996. Health-related behaviour in context: A multilevel modelling approach. </w:t>
      </w:r>
      <w:r>
        <w:rPr>
          <w:rFonts w:ascii="FreeSans" w:hAnsi="FreeSans"/>
          <w:i/>
        </w:rPr>
        <w:t>Social Science &amp; Medicine,</w:t>
      </w:r>
      <w:r>
        <w:rPr>
          <w:rFonts w:ascii="FreeSans" w:hAnsi="FreeSans"/>
        </w:rPr>
        <w:t xml:space="preserve"> 42</w:t>
      </w:r>
      <w:r>
        <w:rPr>
          <w:rFonts w:ascii="FreeSans" w:hAnsi="FreeSans"/>
          <w:b/>
        </w:rPr>
        <w:t>,</w:t>
      </w:r>
      <w:r>
        <w:rPr>
          <w:rFonts w:ascii="FreeSans" w:hAnsi="FreeSans"/>
        </w:rPr>
        <w:t xml:space="preserve"> 817-830.</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FATOVICH, D. M. &amp; JACOBS, I. G. 2009. The relationship between remoteness and trauma deaths in Western Australia. </w:t>
      </w:r>
      <w:r>
        <w:rPr>
          <w:rFonts w:ascii="FreeSans" w:hAnsi="FreeSans"/>
          <w:i/>
        </w:rPr>
        <w:t>Journal of Trauma and Acute Care Surgery,</w:t>
      </w:r>
      <w:r>
        <w:rPr>
          <w:rFonts w:ascii="FreeSans" w:hAnsi="FreeSans"/>
        </w:rPr>
        <w:t xml:space="preserve"> 67</w:t>
      </w:r>
      <w:r>
        <w:rPr>
          <w:rFonts w:ascii="FreeSans" w:hAnsi="FreeSans"/>
          <w:b/>
        </w:rPr>
        <w:t>,</w:t>
      </w:r>
      <w:r>
        <w:rPr>
          <w:rFonts w:ascii="FreeSans" w:hAnsi="FreeSans"/>
        </w:rPr>
        <w:t xml:space="preserve"> 910-914.</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FATOVICH, D. M., PHILLIPS, M., JACOBS, I. G. &amp; LANGFORD, S. A. 2011. Major trauma patients transferred from rural and remote Western Australia by the Royal Flying Doctor Service. </w:t>
      </w:r>
      <w:r>
        <w:rPr>
          <w:rFonts w:ascii="FreeSans" w:hAnsi="FreeSans"/>
          <w:i/>
        </w:rPr>
        <w:t>Journal of Trauma and Acute Care Surgery,</w:t>
      </w:r>
      <w:r>
        <w:rPr>
          <w:rFonts w:ascii="FreeSans" w:hAnsi="FreeSans"/>
        </w:rPr>
        <w:t xml:space="preserve"> 71</w:t>
      </w:r>
      <w:r>
        <w:rPr>
          <w:rFonts w:ascii="FreeSans" w:hAnsi="FreeSans"/>
          <w:b/>
        </w:rPr>
        <w:t>,</w:t>
      </w:r>
      <w:r>
        <w:rPr>
          <w:rFonts w:ascii="FreeSans" w:hAnsi="FreeSans"/>
        </w:rPr>
        <w:t xml:space="preserve"> 1816-1820.</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GARDINER, B., DALE, K., WAKE, E., SCOTT, M., D, C. &amp; WULLSCHERGER, M. 2018. Gold Coast Trauma Service 2014-2017 Report, State of Queensland. Southport Queensland: Queensland Health.</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GENNARELLI, T. A. &amp; WODZIN, E. 2008. </w:t>
      </w:r>
      <w:r>
        <w:rPr>
          <w:rFonts w:ascii="FreeSans" w:hAnsi="FreeSans"/>
          <w:i/>
        </w:rPr>
        <w:t>Abbreviated injury scale 2005: update 2008</w:t>
      </w:r>
      <w:r>
        <w:rPr>
          <w:rFonts w:ascii="FreeSans" w:hAnsi="FreeSans"/>
        </w:rPr>
        <w:t>, Russ Reeder; 2008.</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GLANZ, K., RIMER, B. K. &amp; VISWANATH, K. 2008. </w:t>
      </w:r>
      <w:r>
        <w:rPr>
          <w:rFonts w:ascii="FreeSans" w:hAnsi="FreeSans"/>
          <w:i/>
        </w:rPr>
        <w:t>Health behavior and health education: theory, research, and practice</w:t>
      </w:r>
      <w:r>
        <w:rPr>
          <w:rFonts w:ascii="FreeSans" w:hAnsi="FreeSans"/>
        </w:rPr>
        <w:t>, John Wiley &amp; Sons.</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GLOVER, J. D., HETZEL, D. M. S. &amp; TENNANT, S. K. 2004. The socioeconomic gradient and chronic illness and associated risk factors in Australia. </w:t>
      </w:r>
      <w:r>
        <w:rPr>
          <w:rFonts w:ascii="FreeSans" w:hAnsi="FreeSans"/>
          <w:i/>
        </w:rPr>
        <w:t>Australia and New Zealand Health Policy,</w:t>
      </w:r>
      <w:r>
        <w:rPr>
          <w:rFonts w:ascii="FreeSans" w:hAnsi="FreeSans"/>
        </w:rPr>
        <w:t xml:space="preserve"> 1</w:t>
      </w:r>
      <w:r>
        <w:rPr>
          <w:rFonts w:ascii="FreeSans" w:hAnsi="FreeSans"/>
          <w:b/>
        </w:rPr>
        <w:t>,</w:t>
      </w:r>
      <w:r>
        <w:rPr>
          <w:rFonts w:ascii="FreeSans" w:hAnsi="FreeSans"/>
        </w:rPr>
        <w:t xml:space="preserve"> 8-8.</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HASSELBERG, M., VAEZ, M. &amp; LAFLAMME, L. 2005. Socioeconomic aspects of the circumstances and consequences of car crashes among young adults. </w:t>
      </w:r>
      <w:r>
        <w:rPr>
          <w:rFonts w:ascii="FreeSans" w:hAnsi="FreeSans"/>
          <w:i/>
        </w:rPr>
        <w:t>Social Science &amp; Medicine,</w:t>
      </w:r>
      <w:r>
        <w:rPr>
          <w:rFonts w:ascii="FreeSans" w:hAnsi="FreeSans"/>
        </w:rPr>
        <w:t xml:space="preserve"> 60</w:t>
      </w:r>
      <w:r>
        <w:rPr>
          <w:rFonts w:ascii="FreeSans" w:hAnsi="FreeSans"/>
          <w:b/>
        </w:rPr>
        <w:t>,</w:t>
      </w:r>
      <w:r>
        <w:rPr>
          <w:rFonts w:ascii="FreeSans" w:hAnsi="FreeSans"/>
        </w:rPr>
        <w:t xml:space="preserve"> 287-295.</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KRISTIANSEN, T., LOSSIUS, H. M., REHN, M., KRISTENSEN, P., GRAVSETH, H. M., RØISLIEN, J. &amp; SØREIDE, K. 2013. Epidemiology of trauma: A population-based study of geographical risk factors for injury deaths in the working-age population of Norway. </w:t>
      </w:r>
      <w:r>
        <w:rPr>
          <w:rFonts w:ascii="FreeSans" w:hAnsi="FreeSans"/>
          <w:i/>
        </w:rPr>
        <w:t>Injury,</w:t>
      </w:r>
      <w:r>
        <w:rPr>
          <w:rFonts w:ascii="FreeSans" w:hAnsi="FreeSans"/>
        </w:rPr>
        <w:t xml:space="preserve"> 45</w:t>
      </w:r>
      <w:r>
        <w:rPr>
          <w:rFonts w:ascii="FreeSans" w:hAnsi="FreeSans"/>
          <w:b/>
        </w:rPr>
        <w:t>,</w:t>
      </w:r>
      <w:r>
        <w:rPr>
          <w:rFonts w:ascii="FreeSans" w:hAnsi="FreeSans"/>
        </w:rPr>
        <w:t xml:space="preserve"> 23-30.</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KWEON, Y.-J. &amp; KOCKELMAN, K. M. 2003. Overall injury risk to different drivers: combining exposure, frequency, and severity models. </w:t>
      </w:r>
      <w:r>
        <w:rPr>
          <w:rFonts w:ascii="FreeSans" w:hAnsi="FreeSans"/>
          <w:i/>
        </w:rPr>
        <w:t>Accident Analysis and Prevention,</w:t>
      </w:r>
      <w:r>
        <w:rPr>
          <w:rFonts w:ascii="FreeSans" w:hAnsi="FreeSans"/>
        </w:rPr>
        <w:t xml:space="preserve"> 35</w:t>
      </w:r>
      <w:r>
        <w:rPr>
          <w:rFonts w:ascii="FreeSans" w:hAnsi="FreeSans"/>
          <w:b/>
        </w:rPr>
        <w:t>,</w:t>
      </w:r>
      <w:r>
        <w:rPr>
          <w:rFonts w:ascii="FreeSans" w:hAnsi="FreeSans"/>
        </w:rPr>
        <w:t xml:space="preserve"> 441-450.</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LIBERMAN, M., MULDER, D. S., JURKOVICH, G. J. &amp; SAMPALIS, J. S. 2005. The association between trauma system and trauma center components and outcome in a mature regionalized trauma system. </w:t>
      </w:r>
      <w:r>
        <w:rPr>
          <w:rFonts w:ascii="FreeSans" w:hAnsi="FreeSans"/>
          <w:i/>
        </w:rPr>
        <w:t>Surgery,</w:t>
      </w:r>
      <w:r>
        <w:rPr>
          <w:rFonts w:ascii="FreeSans" w:hAnsi="FreeSans"/>
        </w:rPr>
        <w:t xml:space="preserve"> 137</w:t>
      </w:r>
      <w:r>
        <w:rPr>
          <w:rFonts w:ascii="FreeSans" w:hAnsi="FreeSans"/>
          <w:b/>
        </w:rPr>
        <w:t>,</w:t>
      </w:r>
      <w:r>
        <w:rPr>
          <w:rFonts w:ascii="FreeSans" w:hAnsi="FreeSans"/>
        </w:rPr>
        <w:t xml:space="preserve"> 647-658.</w:t>
      </w:r>
    </w:p>
    <w:p>
      <w:pPr>
        <w:pStyle w:val="EndNoteBibliography"/>
        <w:ind w:left="720" w:hanging="720"/>
        <w:rPr>
          <w:rFonts w:ascii="FreeSans" w:hAnsi="FreeSans"/>
        </w:rPr>
      </w:pPr>
      <w:r>
        <w:rPr>
          <w:rFonts w:ascii="FreeSans" w:hAnsi="FreeSans"/>
        </w:rPr>
        <w:t xml:space="preserve">MARMOT, M. 1999. The Solid Facts: the social determinants of health. </w:t>
      </w:r>
      <w:r>
        <w:rPr>
          <w:rFonts w:ascii="FreeSans" w:hAnsi="FreeSans"/>
          <w:i/>
        </w:rPr>
        <w:t>Health Promotion Journal of Australia: Official Journal of Australian Association of Health Promotion Professionals,</w:t>
      </w:r>
      <w:r>
        <w:rPr>
          <w:rFonts w:ascii="FreeSans" w:hAnsi="FreeSans"/>
        </w:rPr>
        <w:t xml:space="preserve"> 9</w:t>
      </w:r>
      <w:r>
        <w:rPr>
          <w:rFonts w:ascii="FreeSans" w:hAnsi="FreeSans"/>
          <w:b/>
        </w:rPr>
        <w:t>,</w:t>
      </w:r>
      <w:r>
        <w:rPr>
          <w:rFonts w:ascii="FreeSans" w:hAnsi="FreeSans"/>
        </w:rPr>
        <w:t xml:space="preserve"> 133-9.</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MARMOT, M. 2005. Social determinants of health inequalities. </w:t>
      </w:r>
      <w:r>
        <w:rPr>
          <w:rFonts w:ascii="FreeSans" w:hAnsi="FreeSans"/>
          <w:i/>
        </w:rPr>
        <w:t>The Lancet,</w:t>
      </w:r>
      <w:r>
        <w:rPr>
          <w:rFonts w:ascii="FreeSans" w:hAnsi="FreeSans"/>
        </w:rPr>
        <w:t xml:space="preserve"> 365</w:t>
      </w:r>
      <w:r>
        <w:rPr>
          <w:rFonts w:ascii="FreeSans" w:hAnsi="FreeSans"/>
          <w:b/>
        </w:rPr>
        <w:t>,</w:t>
      </w:r>
      <w:r>
        <w:rPr>
          <w:rFonts w:ascii="FreeSans" w:hAnsi="FreeSans"/>
        </w:rPr>
        <w:t xml:space="preserve"> 1099-1104.</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MITCHELL, R. J. &amp; CHONG, S. 2010. Comparison of injury-related hospitalised morbidity and mortality in urban and rural areas in Australia. </w:t>
      </w:r>
      <w:r>
        <w:rPr>
          <w:rFonts w:ascii="FreeSans" w:hAnsi="FreeSans"/>
          <w:i/>
        </w:rPr>
        <w:t>Rural and remote health,</w:t>
      </w:r>
      <w:r>
        <w:rPr>
          <w:rFonts w:ascii="FreeSans" w:hAnsi="FreeSans"/>
        </w:rPr>
        <w:t xml:space="preserve"> 10</w:t>
      </w:r>
      <w:r>
        <w:rPr>
          <w:rFonts w:ascii="FreeSans" w:hAnsi="FreeSans"/>
          <w:b/>
        </w:rPr>
        <w:t>,</w:t>
      </w:r>
      <w:r>
        <w:rPr>
          <w:rFonts w:ascii="FreeSans" w:hAnsi="FreeSans"/>
        </w:rPr>
        <w:t xml:space="preserve"> 1326.</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PHILLIPS, A. 2009. Health status differentials across rural and remote Australia. </w:t>
      </w:r>
      <w:r>
        <w:rPr>
          <w:rFonts w:ascii="FreeSans" w:hAnsi="FreeSans"/>
          <w:i/>
        </w:rPr>
        <w:t>Australian Journal of Rural Health,</w:t>
      </w:r>
      <w:r>
        <w:rPr>
          <w:rFonts w:ascii="FreeSans" w:hAnsi="FreeSans"/>
        </w:rPr>
        <w:t xml:space="preserve"> 17.</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POINTER, S. 2015. Trends in hospitalised injury, Australia 1999-00 to 2012-13. </w:t>
      </w:r>
      <w:r>
        <w:rPr>
          <w:rFonts w:ascii="FreeSans" w:hAnsi="FreeSans"/>
          <w:i/>
        </w:rPr>
        <w:t>Injury Research and Statistics.</w:t>
      </w:r>
      <w:r>
        <w:rPr>
          <w:rFonts w:ascii="FreeSans" w:hAnsi="FreeSans"/>
        </w:rPr>
        <w:t xml:space="preserve"> Canberra.</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POULOS, R., HAYEN, A., FINCH, C. &amp; ZWI, A. 2007. Area socioeconomic status and childhood injury morbidity in New South Wales, Australia. </w:t>
      </w:r>
      <w:r>
        <w:rPr>
          <w:rFonts w:ascii="FreeSans" w:hAnsi="FreeSans"/>
          <w:i/>
        </w:rPr>
        <w:t>Injury Prevention,</w:t>
      </w:r>
      <w:r>
        <w:rPr>
          <w:rFonts w:ascii="FreeSans" w:hAnsi="FreeSans"/>
        </w:rPr>
        <w:t xml:space="preserve"> 13</w:t>
      </w:r>
      <w:r>
        <w:rPr>
          <w:rFonts w:ascii="FreeSans" w:hAnsi="FreeSans"/>
          <w:b/>
        </w:rPr>
        <w:t>,</w:t>
      </w:r>
      <w:r>
        <w:rPr>
          <w:rFonts w:ascii="FreeSans" w:hAnsi="FreeSans"/>
        </w:rPr>
        <w:t xml:space="preserve"> 322-327.</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RICHARD, L., GAUVIN, L. &amp; RAINE, K. 2011. Ecological models revisited: their uses and evolution in health promotion over two decades. . </w:t>
      </w:r>
      <w:r>
        <w:rPr>
          <w:rFonts w:ascii="FreeSans" w:hAnsi="FreeSans"/>
          <w:i/>
        </w:rPr>
        <w:t>Annual review of public health,</w:t>
      </w:r>
      <w:r>
        <w:rPr>
          <w:rFonts w:ascii="FreeSans" w:hAnsi="FreeSans"/>
        </w:rPr>
        <w:t xml:space="preserve"> 32</w:t>
      </w:r>
      <w:r>
        <w:rPr>
          <w:rFonts w:ascii="FreeSans" w:hAnsi="FreeSans"/>
          <w:b/>
        </w:rPr>
        <w:t>,</w:t>
      </w:r>
      <w:r>
        <w:rPr>
          <w:rFonts w:ascii="FreeSans" w:hAnsi="FreeSans"/>
        </w:rPr>
        <w:t xml:space="preserve"> 307-26.</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RICHARD, L., POLVIN, L., KISHCHUK, N., PRLIC, H. &amp; GREEN, L. 1996. Assessment of the integration of the ecological approach in health promotion programs. </w:t>
      </w:r>
      <w:r>
        <w:rPr>
          <w:rFonts w:ascii="FreeSans" w:hAnsi="FreeSans"/>
          <w:i/>
        </w:rPr>
        <w:t>American journal of health promotion,</w:t>
      </w:r>
      <w:r>
        <w:rPr>
          <w:rFonts w:ascii="FreeSans" w:hAnsi="FreeSans"/>
        </w:rPr>
        <w:t xml:space="preserve"> 10</w:t>
      </w:r>
      <w:r>
        <w:rPr>
          <w:rFonts w:ascii="FreeSans" w:hAnsi="FreeSans"/>
          <w:b/>
        </w:rPr>
        <w:t>,</w:t>
      </w:r>
      <w:r>
        <w:rPr>
          <w:rFonts w:ascii="FreeSans" w:hAnsi="FreeSans"/>
        </w:rPr>
        <w:t xml:space="preserve"> 318-28.</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SAMPALIS, J. S., DENIS, R., FRECHETTE, P., BROWN, R., FLEISZER, D. &amp; MULDER, D. 1997. Direct transport to tertiary trauma centers versus transfer from lower level facilities: impact on mortality and morbidity among patients with major trauma. </w:t>
      </w:r>
      <w:r>
        <w:rPr>
          <w:rFonts w:ascii="FreeSans" w:hAnsi="FreeSans"/>
          <w:i/>
        </w:rPr>
        <w:t>Journal of Trauma and Acute Care Surgery,</w:t>
      </w:r>
      <w:r>
        <w:rPr>
          <w:rFonts w:ascii="FreeSans" w:hAnsi="FreeSans"/>
        </w:rPr>
        <w:t xml:space="preserve"> 43</w:t>
      </w:r>
      <w:r>
        <w:rPr>
          <w:rFonts w:ascii="FreeSans" w:hAnsi="FreeSans"/>
          <w:b/>
        </w:rPr>
        <w:t>,</w:t>
      </w:r>
      <w:r>
        <w:rPr>
          <w:rFonts w:ascii="FreeSans" w:hAnsi="FreeSans"/>
        </w:rPr>
        <w:t xml:space="preserve"> 288-296.</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STEWART, D., SUN, J., PATTERSON, C., LEMERLE, K. &amp; HARDIE, M. 2004. Promoting and Building Resilience in Primary School Communities: Evidence from a Comprehensive 'Health Promoting School' Approach. </w:t>
      </w:r>
      <w:r>
        <w:rPr>
          <w:rFonts w:ascii="FreeSans" w:hAnsi="FreeSans"/>
          <w:i/>
        </w:rPr>
        <w:t>International Journal of Mental Health Promotion</w:t>
      </w:r>
      <w:r>
        <w:rPr>
          <w:rFonts w:ascii="FreeSans" w:hAnsi="FreeSans"/>
        </w:rPr>
        <w:t>, 6:3,26-33.</w:t>
      </w:r>
    </w:p>
    <w:p>
      <w:pPr>
        <w:pStyle w:val="EndNoteBibliography"/>
        <w:ind w:left="720" w:hanging="720"/>
        <w:rPr>
          <w:i/>
          <w:i/>
        </w:rPr>
      </w:pPr>
      <w:r>
        <w:rPr>
          <w:i/>
        </w:rPr>
      </w:r>
    </w:p>
    <w:p>
      <w:pPr>
        <w:pStyle w:val="EndNoteBibliography"/>
        <w:ind w:left="720" w:hanging="720"/>
        <w:rPr>
          <w:rFonts w:ascii="FreeSans" w:hAnsi="FreeSans"/>
        </w:rPr>
      </w:pPr>
      <w:r>
        <w:rPr>
          <w:rFonts w:ascii="FreeSans" w:hAnsi="FreeSans"/>
        </w:rPr>
        <w:t xml:space="preserve">SUN, J. &amp; STEWART, D. 2007. Development of population-based resilience measures in the primary school setting. </w:t>
      </w:r>
      <w:r>
        <w:rPr>
          <w:rFonts w:ascii="FreeSans" w:hAnsi="FreeSans"/>
          <w:i/>
        </w:rPr>
        <w:t>Health Education,</w:t>
      </w:r>
      <w:r>
        <w:rPr>
          <w:rFonts w:ascii="FreeSans" w:hAnsi="FreeSans"/>
        </w:rPr>
        <w:t xml:space="preserve"> 107</w:t>
      </w:r>
      <w:r>
        <w:rPr>
          <w:rFonts w:ascii="FreeSans" w:hAnsi="FreeSans"/>
          <w:b/>
        </w:rPr>
        <w:t>,</w:t>
      </w:r>
      <w:r>
        <w:rPr>
          <w:rFonts w:ascii="FreeSans" w:hAnsi="FreeSans"/>
        </w:rPr>
        <w:t xml:space="preserve"> 575-599.</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SUN, J. &amp; STEWART, D. 2008. How can we Improve the Physical and Social Environment of the School to Promote Student Resilience? Evidence from the Resilient Children and Communities Project in China. </w:t>
      </w:r>
      <w:r>
        <w:rPr>
          <w:rFonts w:ascii="FreeSans" w:hAnsi="FreeSans"/>
          <w:i/>
        </w:rPr>
        <w:t>International Journal of Mental Health Promotion,</w:t>
      </w:r>
      <w:r>
        <w:rPr>
          <w:rFonts w:ascii="FreeSans" w:hAnsi="FreeSans"/>
        </w:rPr>
        <w:t xml:space="preserve"> 10</w:t>
      </w:r>
      <w:r>
        <w:rPr>
          <w:rFonts w:ascii="FreeSans" w:hAnsi="FreeSans"/>
          <w:b/>
        </w:rPr>
        <w:t>,</w:t>
      </w:r>
      <w:r>
        <w:rPr>
          <w:rFonts w:ascii="FreeSans" w:hAnsi="FreeSans"/>
        </w:rPr>
        <w:t xml:space="preserve"> 45-54.</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TOHIRA, H., JACOBS, I., MOUNTAIN, D., GIBSON, N. &amp; YEO, A. 2012. Systematic review of predictive performance of injury severity scoring tools. </w:t>
      </w:r>
      <w:r>
        <w:rPr>
          <w:rFonts w:ascii="FreeSans" w:hAnsi="FreeSans"/>
          <w:i/>
        </w:rPr>
        <w:t>Scandinavian journal of trauma, resuscitation and emergency medicine,</w:t>
      </w:r>
      <w:r>
        <w:rPr>
          <w:rFonts w:ascii="FreeSans" w:hAnsi="FreeSans"/>
        </w:rPr>
        <w:t xml:space="preserve"> 20</w:t>
      </w:r>
      <w:r>
        <w:rPr>
          <w:rFonts w:ascii="FreeSans" w:hAnsi="FreeSans"/>
          <w:b/>
        </w:rPr>
        <w:t>,</w:t>
      </w:r>
      <w:r>
        <w:rPr>
          <w:rFonts w:ascii="FreeSans" w:hAnsi="FreeSans"/>
        </w:rPr>
        <w:t xml:space="preserve"> 63.</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TRUNKEY, D. 1983. Accidental and intentional injuries account for more years of life lost in the US than cancer and heart disease. Among the prescribed remedies are improved preventive efforts, speedier surgery and further research. </w:t>
      </w:r>
      <w:r>
        <w:rPr>
          <w:rFonts w:ascii="FreeSans" w:hAnsi="FreeSans"/>
          <w:i/>
        </w:rPr>
        <w:t>Sci Am,</w:t>
      </w:r>
      <w:r>
        <w:rPr>
          <w:rFonts w:ascii="FreeSans" w:hAnsi="FreeSans"/>
        </w:rPr>
        <w:t xml:space="preserve"> 249</w:t>
      </w:r>
      <w:r>
        <w:rPr>
          <w:rFonts w:ascii="FreeSans" w:hAnsi="FreeSans"/>
          <w:b/>
        </w:rPr>
        <w:t>,</w:t>
      </w:r>
      <w:r>
        <w:rPr>
          <w:rFonts w:ascii="FreeSans" w:hAnsi="FreeSans"/>
        </w:rPr>
        <w:t xml:space="preserve"> 28-35.</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VALI, Y., RASHIDIAN, A., JALILI, M., OMIDVARI, A. &amp; JEDDIAN, A. 2017. Effectiveness of regionalization of trauma care services: a systematic review. </w:t>
      </w:r>
      <w:r>
        <w:rPr>
          <w:rFonts w:ascii="FreeSans" w:hAnsi="FreeSans"/>
          <w:i/>
        </w:rPr>
        <w:t>Public Health,</w:t>
      </w:r>
      <w:r>
        <w:rPr>
          <w:rFonts w:ascii="FreeSans" w:hAnsi="FreeSans"/>
        </w:rPr>
        <w:t xml:space="preserve"> 146</w:t>
      </w:r>
      <w:r>
        <w:rPr>
          <w:rFonts w:ascii="FreeSans" w:hAnsi="FreeSans"/>
          <w:b/>
        </w:rPr>
        <w:t>,</w:t>
      </w:r>
      <w:r>
        <w:rPr>
          <w:rFonts w:ascii="FreeSans" w:hAnsi="FreeSans"/>
        </w:rPr>
        <w:t xml:space="preserve"> 92-107.</w:t>
      </w:r>
    </w:p>
    <w:p>
      <w:pPr>
        <w:pStyle w:val="EndNoteBibliography"/>
        <w:ind w:left="720" w:hanging="720"/>
        <w:rPr>
          <w:rFonts w:ascii="FreeSans" w:hAnsi="FreeSans"/>
        </w:rPr>
      </w:pPr>
      <w:r>
        <w:rPr>
          <w:rFonts w:ascii="FreeSans" w:hAnsi="FreeSans"/>
        </w:rPr>
      </w:r>
    </w:p>
    <w:p>
      <w:pPr>
        <w:pStyle w:val="EndNoteBibliography"/>
        <w:ind w:left="720" w:hanging="720"/>
        <w:rPr>
          <w:rFonts w:ascii="FreeSans" w:hAnsi="FreeSans"/>
        </w:rPr>
      </w:pPr>
      <w:r>
        <w:rPr>
          <w:rFonts w:ascii="FreeSans" w:hAnsi="FreeSans"/>
        </w:rPr>
        <w:t xml:space="preserve">ZARZAUR, B. L., CROCE, M. A., FABIAN, T. C., FISCHER, P. &amp; MAGNOTTI, L. J. 2010. A population-based analysis of neighborhood socioeconomic status and injury admission rates and in-hospital mortality. </w:t>
      </w:r>
      <w:r>
        <w:rPr>
          <w:rFonts w:ascii="FreeSans" w:hAnsi="FreeSans"/>
          <w:i/>
        </w:rPr>
        <w:t>Journal of the American College of Surgeons,</w:t>
      </w:r>
      <w:r>
        <w:rPr>
          <w:rFonts w:ascii="FreeSans" w:hAnsi="FreeSans"/>
        </w:rPr>
        <w:t xml:space="preserve"> 211</w:t>
      </w:r>
      <w:r>
        <w:rPr>
          <w:rFonts w:ascii="FreeSans" w:hAnsi="FreeSans"/>
          <w:b/>
        </w:rPr>
        <w:t>,</w:t>
      </w:r>
      <w:r>
        <w:rPr>
          <w:rFonts w:ascii="FreeSans" w:hAnsi="FreeSans"/>
        </w:rPr>
        <w:t xml:space="preserve"> 216-223.</w:t>
      </w:r>
    </w:p>
    <w:p>
      <w:pPr>
        <w:pStyle w:val="Normal"/>
        <w:spacing w:lineRule="auto" w:line="480" w:before="240" w:after="0"/>
        <w:rPr/>
      </w:pPr>
      <w:r>
        <w:rPr/>
      </w:r>
    </w:p>
    <w:sectPr>
      <w:footerReference w:type="default" r:id="rId9"/>
      <w:type w:val="nextPage"/>
      <w:pgSz w:w="11906" w:h="16838"/>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FreeSans">
    <w:charset w:val="01"/>
    <w:family w:val="roman"/>
    <w:pitch w:val="variable"/>
  </w:font>
  <w:font w:name="Liberation Sans">
    <w:altName w:val="Arial"/>
    <w:charset w:val="01"/>
    <w:family w:val="roman"/>
    <w:pitch w:val="variable"/>
  </w:font>
  <w:font w:name="Calibri">
    <w:charset w:val="01"/>
    <w:family w:val="roman"/>
    <w:pitch w:val="variable"/>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66573536"/>
    </w:sdtPr>
    <w:sdtContent>
      <w:p>
        <w:pPr>
          <w:pStyle w:val="Footer"/>
          <w:pBdr>
            <w:top w:val="single" w:sz="4" w:space="1" w:color="D9D9D9"/>
          </w:pBdr>
          <w:jc w:val="right"/>
          <w:rPr/>
        </w:pPr>
        <w:r>
          <w:rPr/>
          <w:fldChar w:fldCharType="begin"/>
        </w:r>
        <w:r>
          <w:rPr/>
          <w:instrText> PAGE </w:instrText>
        </w:r>
        <w:r>
          <w:rPr/>
          <w:fldChar w:fldCharType="separate"/>
        </w:r>
        <w:r>
          <w:rPr/>
          <w:t>5</w:t>
        </w:r>
        <w:r>
          <w:rPr/>
          <w:fldChar w:fldCharType="end"/>
        </w:r>
        <w:r>
          <w:rPr/>
          <w:t xml:space="preserve"> </w:t>
        </w:r>
        <w:r>
          <w:rPr/>
          <w:t xml:space="preserve">| </w:t>
        </w:r>
        <w:r>
          <w:rPr>
            <w:color w:val="7F7F7F" w:themeColor="background1" w:themeShade="7f"/>
            <w:spacing w:val="60"/>
          </w:rPr>
          <w:t>Page</w:t>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77905639"/>
    </w:sdtPr>
    <w:sdtContent>
      <w:p>
        <w:pPr>
          <w:pStyle w:val="Footer"/>
          <w:pBdr>
            <w:top w:val="single" w:sz="4" w:space="1" w:color="D9D9D9"/>
          </w:pBdr>
          <w:jc w:val="right"/>
          <w:rPr/>
        </w:pPr>
        <w:r>
          <w:rPr/>
          <w:fldChar w:fldCharType="begin"/>
        </w:r>
        <w:r>
          <w:rPr/>
          <w:instrText> PAGE </w:instrText>
        </w:r>
        <w:r>
          <w:rPr/>
          <w:fldChar w:fldCharType="separate"/>
        </w:r>
        <w:r>
          <w:rPr/>
          <w:t>6</w:t>
        </w:r>
        <w:r>
          <w:rPr/>
          <w:fldChar w:fldCharType="end"/>
        </w:r>
        <w:r>
          <w:rPr/>
          <w:t xml:space="preserve"> </w:t>
        </w:r>
        <w:r>
          <w:rPr/>
          <w:t xml:space="preserve">| </w:t>
        </w:r>
        <w:r>
          <w:rPr>
            <w:color w:val="7F7F7F" w:themeColor="background1" w:themeShade="7f"/>
            <w:spacing w:val="60"/>
          </w:rPr>
          <w:t>Page</w:t>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9412677"/>
    </w:sdtPr>
    <w:sdtContent>
      <w:p>
        <w:pPr>
          <w:pStyle w:val="Footer"/>
          <w:pBdr>
            <w:top w:val="single" w:sz="4" w:space="1" w:color="D9D9D9"/>
          </w:pBdr>
          <w:jc w:val="right"/>
          <w:rPr/>
        </w:pPr>
        <w:r>
          <w:rPr/>
          <w:fldChar w:fldCharType="begin"/>
        </w:r>
        <w:r>
          <w:rPr/>
          <w:instrText> PAGE </w:instrText>
        </w:r>
        <w:r>
          <w:rPr/>
          <w:fldChar w:fldCharType="separate"/>
        </w:r>
        <w:r>
          <w:rPr/>
          <w:t>7</w:t>
        </w:r>
        <w:r>
          <w:rPr/>
          <w:fldChar w:fldCharType="end"/>
        </w:r>
        <w:r>
          <w:rPr/>
          <w:t xml:space="preserve"> </w:t>
        </w:r>
        <w:r>
          <w:rPr/>
          <w:t xml:space="preserve">| </w:t>
        </w:r>
        <w:r>
          <w:rPr>
            <w:color w:val="7F7F7F" w:themeColor="background1" w:themeShade="7f"/>
            <w:spacing w:val="60"/>
          </w:rPr>
          <w:t>Page</w:t>
        </w:r>
      </w:p>
      <w:p>
        <w:pPr>
          <w:pStyle w:val="Footer"/>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93070959"/>
    </w:sdtPr>
    <w:sdtContent>
      <w:p>
        <w:pPr>
          <w:pStyle w:val="Footer"/>
          <w:pBdr>
            <w:top w:val="single" w:sz="4" w:space="1" w:color="D9D9D9"/>
          </w:pBdr>
          <w:jc w:val="right"/>
          <w:rPr/>
        </w:pPr>
        <w:r>
          <w:rPr/>
          <w:fldChar w:fldCharType="begin"/>
        </w:r>
        <w:r>
          <w:rPr/>
          <w:instrText> PAGE </w:instrText>
        </w:r>
        <w:r>
          <w:rPr/>
          <w:fldChar w:fldCharType="separate"/>
        </w:r>
        <w:r>
          <w:rPr/>
          <w:t>13</w:t>
        </w:r>
        <w:r>
          <w:rPr/>
          <w:fldChar w:fldCharType="end"/>
        </w:r>
        <w:r>
          <w:rPr/>
          <w:t xml:space="preserve"> </w:t>
        </w:r>
        <w:r>
          <w:rPr/>
          <w:t xml:space="preserve">| </w:t>
        </w:r>
        <w:r>
          <w:rPr>
            <w:color w:val="7F7F7F" w:themeColor="background1" w:themeShade="7f"/>
            <w:spacing w:val="60"/>
          </w:rPr>
          <w:t>Page</w:t>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33031426"/>
    </w:sdtPr>
    <w:sdtContent>
      <w:p>
        <w:pPr>
          <w:pStyle w:val="Footer"/>
          <w:pBdr>
            <w:top w:val="single" w:sz="4" w:space="1" w:color="D9D9D9"/>
          </w:pBdr>
          <w:jc w:val="right"/>
          <w:rPr/>
        </w:pPr>
        <w:r>
          <w:rPr/>
          <w:fldChar w:fldCharType="begin"/>
        </w:r>
        <w:r>
          <w:rPr/>
          <w:instrText> PAGE </w:instrText>
        </w:r>
        <w:r>
          <w:rPr/>
          <w:fldChar w:fldCharType="separate"/>
        </w:r>
        <w:r>
          <w:rPr/>
          <w:t>15</w:t>
        </w:r>
        <w:r>
          <w:rPr/>
          <w:fldChar w:fldCharType="end"/>
        </w:r>
        <w:r>
          <w:rPr/>
          <w:t xml:space="preserve"> </w:t>
        </w:r>
        <w:r>
          <w:rPr/>
          <w:t xml:space="preserve">| </w:t>
        </w:r>
        <w:r>
          <w:rPr>
            <w:color w:val="7F7F7F" w:themeColor="background1" w:themeShade="7f"/>
            <w:spacing w:val="60"/>
          </w:rPr>
          <w:t>Page</w:t>
        </w:r>
      </w:p>
      <w:p>
        <w:pPr>
          <w:pStyle w:val="Footer"/>
          <w:rPr/>
        </w:pPr>
        <w:r>
          <w:rPr/>
        </w:r>
      </w:p>
      <w:p>
        <w:pPr>
          <w:pStyle w:val="Footer"/>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59436409"/>
    </w:sdtPr>
    <w:sdtContent>
      <w:p>
        <w:pPr>
          <w:pStyle w:val="Footer"/>
          <w:pBdr>
            <w:top w:val="single" w:sz="4" w:space="1" w:color="D9D9D9"/>
          </w:pBdr>
          <w:jc w:val="right"/>
          <w:rPr/>
        </w:pPr>
        <w:r>
          <w:rPr/>
          <w:fldChar w:fldCharType="begin"/>
        </w:r>
        <w:r>
          <w:rPr/>
          <w:instrText> PAGE </w:instrText>
        </w:r>
        <w:r>
          <w:rPr/>
          <w:fldChar w:fldCharType="separate"/>
        </w:r>
        <w:r>
          <w:rPr/>
          <w:t>17</w:t>
        </w:r>
        <w:r>
          <w:rPr/>
          <w:fldChar w:fldCharType="end"/>
        </w:r>
        <w:r>
          <w:rPr/>
          <w:t xml:space="preserve"> </w:t>
        </w:r>
        <w:r>
          <w:rPr/>
          <w:t xml:space="preserve">| </w:t>
        </w:r>
        <w:r>
          <w:rPr>
            <w:color w:val="7F7F7F" w:themeColor="background1" w:themeShade="7f"/>
            <w:spacing w:val="60"/>
          </w:rPr>
          <w:t>Page</w:t>
        </w:r>
      </w:p>
      <w:p>
        <w:pPr>
          <w:pStyle w:val="Footer"/>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23724812"/>
    </w:sdtPr>
    <w:sdtContent>
      <w:p>
        <w:pPr>
          <w:pStyle w:val="Footer"/>
          <w:pBdr>
            <w:top w:val="single" w:sz="4" w:space="1" w:color="D9D9D9"/>
          </w:pBdr>
          <w:jc w:val="right"/>
          <w:rPr/>
        </w:pPr>
        <w:r>
          <w:rPr/>
          <w:fldChar w:fldCharType="begin"/>
        </w:r>
        <w:r>
          <w:rPr/>
          <w:instrText> PAGE </w:instrText>
        </w:r>
        <w:r>
          <w:rPr/>
          <w:fldChar w:fldCharType="separate"/>
        </w:r>
        <w:r>
          <w:rPr/>
          <w:t>24</w:t>
        </w:r>
        <w:r>
          <w:rPr/>
          <w:fldChar w:fldCharType="end"/>
        </w:r>
        <w:r>
          <w:rPr/>
          <w:t xml:space="preserve"> </w:t>
        </w:r>
        <w:r>
          <w:rPr/>
          <w:t xml:space="preserve">| </w:t>
        </w:r>
        <w:r>
          <w:rPr>
            <w:color w:val="7F7F7F" w:themeColor="background1" w:themeShade="7f"/>
            <w:spacing w:val="60"/>
          </w:rPr>
          <w:t>Page</w:t>
        </w:r>
      </w:p>
      <w:p>
        <w:pPr>
          <w:pStyle w:val="Footer"/>
          <w:rPr/>
        </w:pPr>
        <w:r>
          <w:rPr/>
        </w:r>
      </w:p>
    </w:sdtContent>
  </w:sdt>
</w:ftr>
</file>

<file path=word/settings.xml><?xml version="1.0" encoding="utf-8"?>
<w:settings xmlns:w="http://schemas.openxmlformats.org/wordprocessingml/2006/main">
  <w:zoom w:percent="81"/>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Cs w:val="24"/>
        <w:lang w:val="en-AU" w:eastAsia="zh-CN" w:bidi="hi-IN"/>
      </w:rPr>
    </w:rPrDefault>
    <w:pPrDefault>
      <w:pPr>
        <w:widowControl/>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72"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76e9"/>
    <w:pPr>
      <w:widowControl/>
      <w:kinsoku w:val="true"/>
      <w:overflowPunct w:val="true"/>
      <w:autoSpaceDE w:val="true"/>
      <w:bidi w:val="0"/>
      <w:jc w:val="left"/>
    </w:pPr>
    <w:rPr>
      <w:rFonts w:ascii="Times New Roman" w:hAnsi="Times New Roman" w:eastAsia="Times New Roman" w:cs="Times New Roman"/>
      <w:color w:val="auto"/>
      <w:kern w:val="0"/>
      <w:sz w:val="24"/>
      <w:szCs w:val="24"/>
      <w:lang w:val="en-AU" w:eastAsia="zh-CN" w:bidi="ar-SA"/>
    </w:rPr>
  </w:style>
  <w:style w:type="paragraph" w:styleId="Heading1">
    <w:name w:val="Heading 1"/>
    <w:basedOn w:val="Normal"/>
    <w:next w:val="Normal"/>
    <w:link w:val="Heading1Char"/>
    <w:uiPriority w:val="9"/>
    <w:qFormat/>
    <w:rsid w:val="00421064"/>
    <w:pPr>
      <w:keepNext w:val="true"/>
      <w:keepLines/>
      <w:spacing w:before="240" w:after="0"/>
      <w:jc w:val="left"/>
      <w:outlineLvl w:val="0"/>
    </w:pPr>
    <w:rPr>
      <w:rFonts w:ascii="FreeSans" w:hAnsi="FreeSans" w:eastAsia="" w:eastAsiaTheme="majorEastAsia"/>
      <w:b/>
      <w:bCs/>
      <w:color w:val="000000" w:themeColor="text1"/>
      <w:sz w:val="36"/>
      <w:szCs w:val="36"/>
    </w:rPr>
  </w:style>
  <w:style w:type="paragraph" w:styleId="Heading2">
    <w:name w:val="Heading 2"/>
    <w:basedOn w:val="Normal"/>
    <w:next w:val="Normal"/>
    <w:link w:val="Heading2Char"/>
    <w:autoRedefine/>
    <w:uiPriority w:val="9"/>
    <w:unhideWhenUsed/>
    <w:qFormat/>
    <w:rsid w:val="008e37bd"/>
    <w:pPr>
      <w:keepNext w:val="true"/>
      <w:keepLines/>
      <w:pageBreakBefore w:val="false"/>
      <w:widowControl/>
      <w:bidi w:val="0"/>
      <w:spacing w:lineRule="auto" w:line="276" w:before="0" w:after="0"/>
      <w:jc w:val="left"/>
      <w:outlineLvl w:val="1"/>
    </w:pPr>
    <w:rPr>
      <w:rFonts w:ascii="FreeSans" w:hAnsi="FreeSans" w:eastAsia="" w:cs="" w:cstheme="majorBidi" w:eastAsiaTheme="majorEastAsia"/>
      <w:b/>
      <w:color w:val="000000" w:themeShade="bf"/>
      <w:kern w:val="0"/>
      <w:sz w:val="32"/>
      <w:szCs w:val="32"/>
      <w:lang w:val="en-GB" w:eastAsia="zh-CN" w:bidi="ar-SA"/>
    </w:rPr>
  </w:style>
  <w:style w:type="paragraph" w:styleId="Heading3">
    <w:name w:val="Heading 3"/>
    <w:basedOn w:val="Normal"/>
    <w:next w:val="Normal"/>
    <w:link w:val="Heading3Char"/>
    <w:autoRedefine/>
    <w:uiPriority w:val="9"/>
    <w:qFormat/>
    <w:rsid w:val="00d465ac"/>
    <w:pPr>
      <w:keepNext w:val="true"/>
      <w:spacing w:lineRule="auto" w:line="360" w:before="171" w:after="171"/>
      <w:jc w:val="both"/>
      <w:outlineLvl w:val="2"/>
    </w:pPr>
    <w:rPr>
      <w:rFonts w:ascii="FreeSans" w:hAnsi="FreeSans" w:cs="" w:cstheme="minorBidi"/>
      <w:b/>
      <w:bCs/>
      <w:szCs w:val="26"/>
      <w:lang w:val="en-GB"/>
    </w:rPr>
  </w:style>
  <w:style w:type="paragraph" w:styleId="Heading4">
    <w:name w:val="Heading 4"/>
    <w:basedOn w:val="Normal"/>
    <w:next w:val="Normal"/>
    <w:link w:val="Heading4Char"/>
    <w:autoRedefine/>
    <w:uiPriority w:val="9"/>
    <w:qFormat/>
    <w:rsid w:val="00e1663c"/>
    <w:pPr>
      <w:keepNext w:val="true"/>
      <w:keepLines/>
      <w:spacing w:lineRule="auto" w:line="360" w:before="120" w:after="120"/>
      <w:outlineLvl w:val="3"/>
    </w:pPr>
    <w:rPr>
      <w:rFonts w:eastAsia="MS Gothic" w:cs="" w:cstheme="minorBidi"/>
      <w:bCs/>
      <w:i/>
      <w:iCs/>
      <w:color w:val="002060"/>
      <w:sz w:val="22"/>
      <w:shd w:fill="FFFFFF" w:val="clear"/>
      <w:lang w:val="en-GB"/>
    </w:rPr>
  </w:style>
  <w:style w:type="character" w:styleId="DefaultParagraphFont" w:default="1">
    <w:name w:val="Default Paragraph Font"/>
    <w:uiPriority w:val="1"/>
    <w:semiHidden/>
    <w:unhideWhenUsed/>
    <w:qFormat/>
    <w:rPr/>
  </w:style>
  <w:style w:type="character" w:styleId="Heading3Char" w:customStyle="1">
    <w:name w:val="Heading 3 Char"/>
    <w:link w:val="Heading3"/>
    <w:uiPriority w:val="9"/>
    <w:qFormat/>
    <w:rsid w:val="00d465ac"/>
    <w:rPr>
      <w:rFonts w:ascii="Times New Roman" w:hAnsi="Times New Roman" w:eastAsia="Times New Roman"/>
      <w:b/>
      <w:bCs/>
      <w:szCs w:val="26"/>
    </w:rPr>
  </w:style>
  <w:style w:type="character" w:styleId="Heading4Char" w:customStyle="1">
    <w:name w:val="Heading 4 Char"/>
    <w:link w:val="Heading4"/>
    <w:uiPriority w:val="9"/>
    <w:qFormat/>
    <w:rsid w:val="00e1663c"/>
    <w:rPr>
      <w:rFonts w:ascii="Times New Roman" w:hAnsi="Times New Roman" w:eastAsia="MS Gothic"/>
      <w:bCs/>
      <w:i/>
      <w:iCs/>
      <w:color w:val="002060"/>
      <w:sz w:val="22"/>
      <w:lang w:eastAsia="en-US"/>
    </w:rPr>
  </w:style>
  <w:style w:type="character" w:styleId="Heading1Char" w:customStyle="1">
    <w:name w:val="Heading 1 Char"/>
    <w:basedOn w:val="DefaultParagraphFont"/>
    <w:link w:val="Heading1"/>
    <w:uiPriority w:val="9"/>
    <w:qFormat/>
    <w:rsid w:val="00421064"/>
    <w:rPr>
      <w:rFonts w:ascii="Times New Roman" w:hAnsi="Times New Roman" w:eastAsia="" w:cs="Times New Roman" w:eastAsiaTheme="majorEastAsia"/>
      <w:b/>
      <w:color w:val="000000" w:themeColor="text1"/>
      <w:sz w:val="28"/>
      <w:lang w:val="en-AU"/>
    </w:rPr>
  </w:style>
  <w:style w:type="character" w:styleId="Heading2Char" w:customStyle="1">
    <w:name w:val="Heading 2 Char"/>
    <w:basedOn w:val="DefaultParagraphFont"/>
    <w:link w:val="Heading2"/>
    <w:uiPriority w:val="9"/>
    <w:qFormat/>
    <w:rsid w:val="008e37bd"/>
    <w:rPr>
      <w:rFonts w:ascii="Times New Roman" w:hAnsi="Times New Roman" w:eastAsia="" w:cs="" w:cstheme="majorBidi" w:eastAsiaTheme="majorEastAsia"/>
      <w:b/>
      <w:color w:val="2F5496" w:themeColor="accent1" w:themeShade="bf"/>
      <w:sz w:val="26"/>
      <w:szCs w:val="26"/>
    </w:rPr>
  </w:style>
  <w:style w:type="character" w:styleId="Annotationreference">
    <w:name w:val="annotation reference"/>
    <w:basedOn w:val="DefaultParagraphFont"/>
    <w:uiPriority w:val="99"/>
    <w:semiHidden/>
    <w:unhideWhenUsed/>
    <w:qFormat/>
    <w:rsid w:val="000e689b"/>
    <w:rPr>
      <w:sz w:val="16"/>
      <w:szCs w:val="16"/>
    </w:rPr>
  </w:style>
  <w:style w:type="character" w:styleId="CommentTextChar" w:customStyle="1">
    <w:name w:val="Comment Text Char"/>
    <w:basedOn w:val="DefaultParagraphFont"/>
    <w:link w:val="CommentText"/>
    <w:uiPriority w:val="99"/>
    <w:semiHidden/>
    <w:qFormat/>
    <w:rsid w:val="000e689b"/>
    <w:rPr>
      <w:rFonts w:ascii="Times New Roman" w:hAnsi="Times New Roman" w:cs="Times New Roman"/>
      <w:sz w:val="20"/>
      <w:szCs w:val="20"/>
      <w:lang w:val="en-US" w:eastAsia="en-US"/>
    </w:rPr>
  </w:style>
  <w:style w:type="character" w:styleId="CommentSubjectChar" w:customStyle="1">
    <w:name w:val="Comment Subject Char"/>
    <w:basedOn w:val="CommentTextChar"/>
    <w:link w:val="CommentSubject"/>
    <w:uiPriority w:val="99"/>
    <w:semiHidden/>
    <w:qFormat/>
    <w:rsid w:val="000e689b"/>
    <w:rPr>
      <w:rFonts w:ascii="Times New Roman" w:hAnsi="Times New Roman" w:cs="Times New Roman"/>
      <w:b/>
      <w:bCs/>
      <w:sz w:val="20"/>
      <w:szCs w:val="20"/>
      <w:lang w:val="en-US" w:eastAsia="en-US"/>
    </w:rPr>
  </w:style>
  <w:style w:type="character" w:styleId="BalloonTextChar" w:customStyle="1">
    <w:name w:val="Balloon Text Char"/>
    <w:basedOn w:val="DefaultParagraphFont"/>
    <w:link w:val="BalloonText"/>
    <w:uiPriority w:val="99"/>
    <w:semiHidden/>
    <w:qFormat/>
    <w:rsid w:val="000e689b"/>
    <w:rPr>
      <w:rFonts w:ascii="Times New Roman" w:hAnsi="Times New Roman" w:cs="Times New Roman"/>
      <w:sz w:val="18"/>
      <w:szCs w:val="18"/>
      <w:lang w:val="en-US" w:eastAsia="en-US"/>
    </w:rPr>
  </w:style>
  <w:style w:type="character" w:styleId="InternetLink">
    <w:name w:val="Internet Link"/>
    <w:basedOn w:val="DefaultParagraphFont"/>
    <w:uiPriority w:val="99"/>
    <w:unhideWhenUsed/>
    <w:rsid w:val="00e05ec9"/>
    <w:rPr>
      <w:color w:val="0000FF"/>
      <w:u w:val="single"/>
    </w:rPr>
  </w:style>
  <w:style w:type="character" w:styleId="UnresolvedMention1" w:customStyle="1">
    <w:name w:val="Unresolved Mention1"/>
    <w:basedOn w:val="DefaultParagraphFont"/>
    <w:uiPriority w:val="99"/>
    <w:qFormat/>
    <w:rsid w:val="00610afc"/>
    <w:rPr>
      <w:color w:val="808080"/>
      <w:shd w:fill="E6E6E6" w:val="clear"/>
    </w:rPr>
  </w:style>
  <w:style w:type="character" w:styleId="Contentline75" w:customStyle="1">
    <w:name w:val="contentline-75"/>
    <w:basedOn w:val="DefaultParagraphFont"/>
    <w:qFormat/>
    <w:rsid w:val="00d976e9"/>
    <w:rPr/>
  </w:style>
  <w:style w:type="character" w:styleId="Bibref" w:customStyle="1">
    <w:name w:val="bibref"/>
    <w:basedOn w:val="DefaultParagraphFont"/>
    <w:qFormat/>
    <w:rsid w:val="00600c08"/>
    <w:rPr/>
  </w:style>
  <w:style w:type="character" w:styleId="HeaderChar" w:customStyle="1">
    <w:name w:val="Header Char"/>
    <w:basedOn w:val="DefaultParagraphFont"/>
    <w:link w:val="Header"/>
    <w:uiPriority w:val="99"/>
    <w:qFormat/>
    <w:rsid w:val="007a12d6"/>
    <w:rPr>
      <w:rFonts w:ascii="Times New Roman" w:hAnsi="Times New Roman" w:eastAsia="Times New Roman" w:cs="Times New Roman"/>
      <w:lang w:val="en-AU"/>
    </w:rPr>
  </w:style>
  <w:style w:type="character" w:styleId="FooterChar" w:customStyle="1">
    <w:name w:val="Footer Char"/>
    <w:basedOn w:val="DefaultParagraphFont"/>
    <w:link w:val="Footer"/>
    <w:uiPriority w:val="99"/>
    <w:qFormat/>
    <w:rsid w:val="007a12d6"/>
    <w:rPr>
      <w:rFonts w:ascii="Times New Roman" w:hAnsi="Times New Roman" w:eastAsia="Times New Roman" w:cs="Times New Roman"/>
      <w:lang w:val="en-AU"/>
    </w:rPr>
  </w:style>
  <w:style w:type="character" w:styleId="EndNoteBibliographyTitleChar" w:customStyle="1">
    <w:name w:val="EndNote Bibliography Title Char"/>
    <w:basedOn w:val="DefaultParagraphFont"/>
    <w:link w:val="EndNoteBibliographyTitle"/>
    <w:qFormat/>
    <w:rsid w:val="00683172"/>
    <w:rPr>
      <w:rFonts w:ascii="Times New Roman" w:hAnsi="Times New Roman" w:eastAsia="Times New Roman" w:cs="Times New Roman"/>
      <w:lang w:val="en-AU"/>
    </w:rPr>
  </w:style>
  <w:style w:type="character" w:styleId="EndNoteBibliographyChar" w:customStyle="1">
    <w:name w:val="EndNote Bibliography Char"/>
    <w:basedOn w:val="DefaultParagraphFont"/>
    <w:link w:val="EndNoteBibliography"/>
    <w:qFormat/>
    <w:rsid w:val="00683172"/>
    <w:rPr>
      <w:rFonts w:ascii="Times New Roman" w:hAnsi="Times New Roman" w:eastAsia="Times New Roman" w:cs="Times New Roman"/>
      <w:lang w:val="en-AU"/>
    </w:rPr>
  </w:style>
  <w:style w:type="character" w:styleId="ListLabel1">
    <w:name w:val="ListLabel 1"/>
    <w:qFormat/>
    <w:rPr>
      <w:rFonts w:eastAsia="DengXian"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Times New Roman" w:cs="Times New Roman"/>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olor w:val="000000" w:themeColor="text1"/>
      <w:u w:val="single"/>
      <w:lang w:val="fr-FR"/>
    </w:rPr>
  </w:style>
  <w:style w:type="character" w:styleId="ListLabel17">
    <w:name w:val="ListLabel 17"/>
    <w:qFormat/>
    <w:rPr>
      <w:rFonts w:eastAsia="Calibri"/>
      <w:color w:val="000000" w:themeColor="text1"/>
      <w:lang w:val="fr-FR"/>
    </w:rPr>
  </w:style>
  <w:style w:type="character" w:styleId="ListLabel18">
    <w:name w:val="ListLabel 18"/>
    <w:qFormat/>
    <w:rPr>
      <w:rFonts w:eastAsia="Calibri"/>
      <w:color w:val="000000" w:themeColor="text1"/>
      <w:shd w:fill="FFFFFF" w:val="clear"/>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72"/>
    <w:qFormat/>
    <w:rsid w:val="00d322fc"/>
    <w:pPr>
      <w:spacing w:before="0" w:after="0"/>
      <w:ind w:left="720" w:hanging="0"/>
      <w:contextualSpacing/>
    </w:pPr>
    <w:rPr>
      <w:rFonts w:ascii="Calibri" w:hAnsi="Calibri" w:cs="" w:asciiTheme="minorHAnsi" w:cstheme="minorBidi" w:hAnsiTheme="minorHAnsi"/>
      <w:lang w:val="en-GB"/>
    </w:rPr>
  </w:style>
  <w:style w:type="paragraph" w:styleId="NormalWeb">
    <w:name w:val="Normal (Web)"/>
    <w:basedOn w:val="Normal"/>
    <w:uiPriority w:val="99"/>
    <w:unhideWhenUsed/>
    <w:qFormat/>
    <w:rsid w:val="00d322fc"/>
    <w:pPr>
      <w:spacing w:beforeAutospacing="1" w:afterAutospacing="1"/>
    </w:pPr>
    <w:rPr>
      <w:rFonts w:ascii="Times" w:hAnsi="Times"/>
      <w:sz w:val="20"/>
      <w:szCs w:val="20"/>
    </w:rPr>
  </w:style>
  <w:style w:type="paragraph" w:styleId="Annotationtext">
    <w:name w:val="annotation text"/>
    <w:basedOn w:val="Normal"/>
    <w:link w:val="CommentTextChar"/>
    <w:uiPriority w:val="99"/>
    <w:semiHidden/>
    <w:unhideWhenUsed/>
    <w:qFormat/>
    <w:rsid w:val="000e689b"/>
    <w:pPr/>
    <w:rPr>
      <w:sz w:val="20"/>
      <w:szCs w:val="20"/>
    </w:rPr>
  </w:style>
  <w:style w:type="paragraph" w:styleId="Annotationsubject">
    <w:name w:val="annotation subject"/>
    <w:basedOn w:val="Annotationtext"/>
    <w:link w:val="CommentSubjectChar"/>
    <w:uiPriority w:val="99"/>
    <w:semiHidden/>
    <w:unhideWhenUsed/>
    <w:qFormat/>
    <w:rsid w:val="000e689b"/>
    <w:pPr/>
    <w:rPr>
      <w:b/>
      <w:bCs/>
    </w:rPr>
  </w:style>
  <w:style w:type="paragraph" w:styleId="BalloonText">
    <w:name w:val="Balloon Text"/>
    <w:basedOn w:val="Normal"/>
    <w:link w:val="BalloonTextChar"/>
    <w:uiPriority w:val="99"/>
    <w:semiHidden/>
    <w:unhideWhenUsed/>
    <w:qFormat/>
    <w:rsid w:val="000e689b"/>
    <w:pPr/>
    <w:rPr>
      <w:sz w:val="18"/>
      <w:szCs w:val="18"/>
    </w:rPr>
  </w:style>
  <w:style w:type="paragraph" w:styleId="Header">
    <w:name w:val="Header"/>
    <w:basedOn w:val="Normal"/>
    <w:link w:val="HeaderChar"/>
    <w:uiPriority w:val="99"/>
    <w:unhideWhenUsed/>
    <w:rsid w:val="007a12d6"/>
    <w:pPr>
      <w:tabs>
        <w:tab w:val="center" w:pos="4513" w:leader="none"/>
        <w:tab w:val="right" w:pos="9026" w:leader="none"/>
      </w:tabs>
    </w:pPr>
    <w:rPr/>
  </w:style>
  <w:style w:type="paragraph" w:styleId="Footer">
    <w:name w:val="Footer"/>
    <w:basedOn w:val="Normal"/>
    <w:link w:val="FooterChar"/>
    <w:uiPriority w:val="99"/>
    <w:unhideWhenUsed/>
    <w:rsid w:val="007a12d6"/>
    <w:pPr>
      <w:tabs>
        <w:tab w:val="center" w:pos="4513" w:leader="none"/>
        <w:tab w:val="right" w:pos="9026" w:leader="none"/>
      </w:tabs>
    </w:pPr>
    <w:rPr/>
  </w:style>
  <w:style w:type="paragraph" w:styleId="EndNoteBibliographyTitle" w:customStyle="1">
    <w:name w:val="EndNote Bibliography Title"/>
    <w:basedOn w:val="Normal"/>
    <w:link w:val="EndNoteBibliographyTitleChar"/>
    <w:qFormat/>
    <w:rsid w:val="00683172"/>
    <w:pPr>
      <w:jc w:val="center"/>
    </w:pPr>
    <w:rPr/>
  </w:style>
  <w:style w:type="paragraph" w:styleId="EndNoteBibliography" w:customStyle="1">
    <w:name w:val="EndNote Bibliography"/>
    <w:basedOn w:val="Normal"/>
    <w:link w:val="EndNoteBibliographyChar"/>
    <w:qFormat/>
    <w:rsid w:val="00683172"/>
    <w:pPr/>
    <w:rPr/>
  </w:style>
  <w:style w:type="paragraph" w:styleId="Title">
    <w:name w:val="Title"/>
    <w:basedOn w:val="Heading"/>
    <w:qFormat/>
    <w:pPr>
      <w:spacing w:lineRule="auto" w:line="276" w:before="240" w:after="0"/>
      <w:jc w:val="center"/>
    </w:pPr>
    <w:rPr>
      <w:rFonts w:ascii="FreeSans" w:hAnsi="FreeSans"/>
      <w:b/>
      <w:bCs/>
      <w:sz w:val="56"/>
      <w:szCs w:val="56"/>
    </w:rPr>
  </w:style>
  <w:style w:type="paragraph" w:styleId="Subtitle">
    <w:name w:val="Subtitle"/>
    <w:basedOn w:val="Heading"/>
    <w:qFormat/>
    <w:pPr>
      <w:spacing w:before="240" w:after="0"/>
      <w:jc w:val="center"/>
    </w:pPr>
    <w:rPr>
      <w:rFonts w:ascii="FreeSans" w:hAnsi="FreeSans"/>
      <w:sz w:val="32"/>
      <w:szCs w:val="3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322f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f51853"/>
    <w:rPr>
      <w:color w:val="000000" w:themeColor="text1"/>
    </w:rPr>
    <w:tblPr>
      <w:tblStyleRowBandSize w:val="1"/>
      <w:tblStyleColBandSize w:val="1"/>
      <w:tblInd w:w="0" w:type="dxa"/>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7f1420"/>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PlainTable51">
    <w:name w:val="Plain Table 51"/>
    <w:basedOn w:val="TableNormal"/>
    <w:uiPriority w:val="45"/>
    <w:rsid w:val="007f1420"/>
    <w:tblPr>
      <w:tblStyleRowBandSize w:val="1"/>
      <w:tblStyleColBandSize w:val="1"/>
      <w:tblInd w:w="0" w:type="dxa"/>
      <w:tblCellMar>
        <w:top w:w="0" w:type="dxa"/>
        <w:left w:w="108" w:type="dxa"/>
        <w:bottom w:w="0" w:type="dxa"/>
        <w:right w:w="108" w:type="dxa"/>
      </w:tblCellMar>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f142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f1420"/>
    <w:tblPr>
      <w:tblStyleRowBandSize w:val="1"/>
      <w:tblStyleColBandSize w:val="1"/>
      <w:tblInd w:w="0" w:type="dxa"/>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customStyle="1" w:styleId="PlainTable11">
    <w:name w:val="Plain Table 11"/>
    <w:basedOn w:val="TableNormal"/>
    <w:uiPriority w:val="41"/>
    <w:rsid w:val="00d66a64"/>
    <w:tblPr>
      <w:tblStyleRowBandSize w:val="1"/>
      <w:tblStyleColBandSize w:val="1"/>
      <w:tblInd w:w="0" w:type="dxa"/>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66a64"/>
    <w:tblPr>
      <w:tblInd w:w="0" w:type="dxa"/>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style>
  <w:style w:type="table" w:customStyle="1" w:styleId="PlainTable52">
    <w:name w:val="Plain Table 52"/>
    <w:basedOn w:val="TableNormal"/>
    <w:uiPriority w:val="99"/>
    <w:rsid w:val="004476c3"/>
    <w:tblPr>
      <w:tblStyleRowBandSize w:val="1"/>
      <w:tblStyleColBandSize w:val="1"/>
      <w:tblInd w:w="0" w:type="dxa"/>
      <w:tblCellMar>
        <w:top w:w="0" w:type="dxa"/>
        <w:left w:w="108" w:type="dxa"/>
        <w:bottom w:w="0" w:type="dxa"/>
        <w:right w:w="108" w:type="dxa"/>
      </w:tblCellMar>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image1.png"/><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6AA4-6A61-464C-93BC-C0A6370C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LibreOffice/6.0.6.2$Linux_X86_64 LibreOffice_project/00m0$Build-2</Application>
  <Pages>24</Pages>
  <Words>7140</Words>
  <Characters>39068</Characters>
  <CharactersWithSpaces>45517</CharactersWithSpaces>
  <Paragraphs>660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2018-10-18T23:58:00Z</dcterms:created>
  <dc:creator>soeadmin</dc:creator>
  <dc:description/>
  <dc:language>en-AU</dc:language>
  <cp:lastModifiedBy/>
  <cp:lastPrinted>2018-10-02T05:39:00Z</cp:lastPrinted>
  <dcterms:modified xsi:type="dcterms:W3CDTF">2018-12-19T11:32:51Z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