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spacing w:before="240" w:after="120"/>
        <w:rPr/>
      </w:pPr>
      <w:r>
        <w:rPr/>
        <w:t>Impact of the Australian Qualification Framework (AQF) on International Postgraduate Students of the University of Newcastle</w:t>
      </w:r>
    </w:p>
    <w:p>
      <w:pPr>
        <w:pStyle w:val="Normal"/>
        <w:spacing w:lineRule="auto" w:line="360"/>
        <w:rPr>
          <w:rFonts w:ascii="FreeSans" w:hAnsi="FreeSans"/>
        </w:rPr>
      </w:pPr>
      <w:r>
        <w:rPr>
          <w:rFonts w:ascii="FreeSans" w:hAnsi="FreeSans"/>
        </w:rPr>
      </w:r>
    </w:p>
    <w:p>
      <w:pPr>
        <w:pStyle w:val="Subtitle"/>
        <w:spacing w:lineRule="auto" w:line="276"/>
        <w:rPr/>
      </w:pPr>
      <w:r>
        <w:rPr>
          <w:rFonts w:eastAsia="Times New Roman" w:cs="Times New Roman"/>
          <w:b/>
          <w:bCs/>
          <w:color w:val="1A1A1A"/>
          <w:sz w:val="32"/>
          <w:szCs w:val="32"/>
          <w:lang w:bidi="bn-IN"/>
        </w:rPr>
        <w:t xml:space="preserve">Al Moshi, Md Adnan </w:t>
      </w:r>
      <w:r>
        <w:rPr>
          <w:rFonts w:eastAsia="Times New Roman" w:cs="Times New Roman"/>
          <w:b w:val="false"/>
          <w:bCs w:val="false"/>
          <w:i/>
          <w:iCs/>
          <w:color w:val="1A1A1A"/>
          <w:sz w:val="32"/>
          <w:szCs w:val="32"/>
          <w:lang w:bidi="bn-IN"/>
        </w:rPr>
        <w:t>University of Newcastle</w:t>
      </w:r>
    </w:p>
    <w:p>
      <w:pPr>
        <w:pStyle w:val="Subtitle"/>
        <w:spacing w:lineRule="auto" w:line="276"/>
        <w:rPr/>
      </w:pPr>
      <w:r>
        <w:rPr>
          <w:rFonts w:eastAsia="Times New Roman" w:cs="Times New Roman"/>
          <w:b/>
          <w:bCs/>
          <w:color w:val="1A1A1A"/>
          <w:sz w:val="32"/>
          <w:szCs w:val="32"/>
          <w:lang w:bidi="bn-IN"/>
        </w:rPr>
        <w:t xml:space="preserve">Rodriguez, Lena </w:t>
      </w:r>
      <w:r>
        <w:rPr>
          <w:rFonts w:eastAsia="Times New Roman" w:cs="Times New Roman"/>
          <w:b w:val="false"/>
          <w:bCs w:val="false"/>
          <w:i/>
          <w:iCs/>
          <w:color w:val="1A1A1A"/>
          <w:sz w:val="32"/>
          <w:szCs w:val="32"/>
          <w:lang w:bidi="bn-IN"/>
        </w:rPr>
        <w:t>University of Newcastle</w:t>
      </w:r>
    </w:p>
    <w:p>
      <w:pPr>
        <w:pStyle w:val="Normal"/>
        <w:spacing w:lineRule="auto" w:line="360"/>
        <w:rPr>
          <w:rFonts w:ascii="FreeSans" w:hAnsi="FreeSans"/>
        </w:rPr>
      </w:pPr>
      <w:r>
        <w:rPr>
          <w:rFonts w:ascii="FreeSans" w:hAnsi="FreeSans"/>
        </w:rPr>
      </w:r>
    </w:p>
    <w:p>
      <w:pPr>
        <w:pStyle w:val="Heading1"/>
        <w:numPr>
          <w:ilvl w:val="0"/>
          <w:numId w:val="2"/>
        </w:numPr>
        <w:rPr>
          <w:b/>
          <w:b/>
          <w:bCs/>
        </w:rPr>
      </w:pPr>
      <w:r>
        <w:rPr/>
        <w:t>Introduction</w:t>
      </w:r>
    </w:p>
    <w:p>
      <w:pPr>
        <w:pStyle w:val="Normal"/>
        <w:spacing w:lineRule="auto" w:line="360"/>
        <w:rPr>
          <w:rFonts w:ascii="FreeSans" w:hAnsi="FreeSans"/>
        </w:rPr>
      </w:pPr>
      <w:r>
        <w:rPr>
          <w:rFonts w:ascii="FreeSans" w:hAnsi="FreeSans"/>
        </w:rPr>
        <w:t>Australia is the third most popular English-speaking destination to overseas students coming from 190 countries (DFAT,2010). A number of 328,402 students were enrolled in different Universities in 2013. Half of these students were enrolled in management or commerce related programs. Australian universities have earned $18.5 billion dollars revenue in last 5 years from overseas students making this sector as the fourth export industry in Australia (following iron ore, coal and gold) (Acpet.edu.au, 2013). Realizing the potential of higher education sector policy makers have been trying to formulate the policy to maximize the revenue.  Australian Qualification Framework (AQF) is the recent outcome of those initiatives, which has combined the qualifications from each education and training sector into a single comprehensive national qualifications framework (Aqf.edu.au, 2013). This research was undertaken to look into the impact of introducing AQF on international</w:t>
      </w:r>
      <w:r>
        <w:rPr>
          <w:rFonts w:eastAsia="Calibri" w:ascii="FreeSans" w:hAnsi="FreeSans"/>
        </w:rPr>
        <w:t xml:space="preserve"> postgraduate (Masters) students as well as to identify the information gap between students and international office in the University of Newcastle. The principal aim of this paper is to discuss the methodological aspect of this research project, for example sampling, data collection tool selection, data processing and data analysis. Finally, there is a section discussed on methodological limitations and scope of improvements at the end of this paper. </w:t>
      </w:r>
    </w:p>
    <w:p>
      <w:pPr>
        <w:pStyle w:val="Normal"/>
        <w:widowControl w:val="false"/>
        <w:spacing w:lineRule="auto" w:line="360"/>
        <w:jc w:val="both"/>
        <w:rPr>
          <w:rFonts w:ascii="FreeSans" w:hAnsi="FreeSans" w:eastAsia="Calibri"/>
        </w:rPr>
      </w:pPr>
      <w:r>
        <w:rPr>
          <w:rFonts w:eastAsia="Calibri" w:ascii="FreeSans" w:hAnsi="FreeSans"/>
        </w:rPr>
      </w:r>
    </w:p>
    <w:p>
      <w:pPr>
        <w:pStyle w:val="Heading2"/>
        <w:numPr>
          <w:ilvl w:val="1"/>
          <w:numId w:val="2"/>
        </w:numPr>
        <w:rPr>
          <w:b/>
          <w:b/>
          <w:bCs/>
        </w:rPr>
      </w:pPr>
      <w:r>
        <w:rPr/>
        <w:t xml:space="preserve">Introducing Australian Qualification Framework (AQF) </w:t>
      </w:r>
    </w:p>
    <w:p>
      <w:pPr>
        <w:pStyle w:val="Normal"/>
        <w:widowControl w:val="false"/>
        <w:spacing w:lineRule="auto" w:line="360"/>
        <w:jc w:val="both"/>
        <w:rPr>
          <w:rFonts w:ascii="FreeSans" w:hAnsi="FreeSans"/>
        </w:rPr>
      </w:pPr>
      <w:r>
        <w:rPr>
          <w:rFonts w:ascii="FreeSans" w:hAnsi="FreeSans"/>
          <w:color w:val="1A1A1A"/>
        </w:rPr>
        <w:t xml:space="preserve">The Australian Qualifications Framework (AQF) is the national policy that incorporates guidelines for qualification type of all education and training sector under single comprehensive framework </w:t>
      </w:r>
      <w:r>
        <w:rPr>
          <w:rFonts w:ascii="FreeSans" w:hAnsi="FreeSans"/>
          <w:color w:val="000000"/>
          <w:shd w:fill="FFFFFF" w:val="clear"/>
        </w:rPr>
        <w:t>(Aqf.edu.au, 2013)</w:t>
      </w:r>
      <w:r>
        <w:rPr>
          <w:rFonts w:ascii="FreeSans" w:hAnsi="FreeSans"/>
        </w:rPr>
        <w:t xml:space="preserve">. </w:t>
      </w:r>
      <w:r>
        <w:rPr>
          <w:rFonts w:ascii="FreeSans" w:hAnsi="FreeSans"/>
          <w:color w:val="1A1A1A"/>
        </w:rPr>
        <w:t>It was developed in 1990 and introduced in 1995 with an aim to support the need of workforce both within and across Australia through formal education. It is assumed that AQF will help to accelerate the national economic development and increases the mobility of graduates within and across labour market.  One of the key objectives of AQF is to align the international qualification framework.</w:t>
      </w:r>
    </w:p>
    <w:p>
      <w:pPr>
        <w:pStyle w:val="Normal"/>
        <w:widowControl w:val="false"/>
        <w:tabs>
          <w:tab w:val="left" w:pos="220" w:leader="none"/>
          <w:tab w:val="left" w:pos="720" w:leader="none"/>
        </w:tabs>
        <w:spacing w:lineRule="auto" w:line="360"/>
        <w:rPr>
          <w:rFonts w:ascii="FreeSans" w:hAnsi="FreeSans"/>
          <w:color w:val="1A1A1A"/>
        </w:rPr>
      </w:pPr>
      <w:r>
        <w:rPr>
          <w:rFonts w:ascii="FreeSans" w:hAnsi="FreeSans"/>
          <w:color w:val="1A1A1A"/>
        </w:rPr>
      </w:r>
    </w:p>
    <w:p>
      <w:pPr>
        <w:pStyle w:val="Normal"/>
        <w:widowControl w:val="false"/>
        <w:spacing w:lineRule="auto" w:line="360"/>
        <w:jc w:val="both"/>
        <w:rPr>
          <w:color w:val="1A1A1A"/>
        </w:rPr>
      </w:pPr>
      <w:r>
        <w:rPr>
          <w:rFonts w:ascii="FreeSans" w:hAnsi="FreeSans"/>
          <w:color w:val="1A1A1A"/>
        </w:rPr>
        <w:t xml:space="preserve">Taxonomic approach of levels and qualification has been followed to maintain consistency and transparency of the qualification types. According to AQF there are 10 levels (Table 1) that define the complexity (1 means lowest level of complexity and 10 means highest level of complexity) and depth of achievement of graduates </w:t>
      </w:r>
      <w:r>
        <w:rPr>
          <w:rFonts w:ascii="FreeSans" w:hAnsi="FreeSans"/>
          <w:color w:val="000000"/>
          <w:shd w:fill="FFFFFF" w:val="clear"/>
        </w:rPr>
        <w:t>(Aqf.edu.au, 2013)</w:t>
      </w:r>
      <w:r>
        <w:rPr>
          <w:rFonts w:ascii="FreeSans" w:hAnsi="FreeSans"/>
        </w:rPr>
        <w:t xml:space="preserve">. </w:t>
      </w:r>
      <w:r>
        <w:rPr>
          <w:rFonts w:ascii="FreeSans" w:hAnsi="FreeSans"/>
          <w:color w:val="1A1A1A"/>
        </w:rPr>
        <w:t>Alongside, there are 14 qualification types for all education and training sectors each of which is located within one of the 10 levels.</w:t>
      </w:r>
    </w:p>
    <w:p>
      <w:pPr>
        <w:pStyle w:val="Normal"/>
        <w:widowControl w:val="false"/>
        <w:spacing w:lineRule="auto" w:line="360"/>
        <w:rPr>
          <w:color w:val="1A1A1A"/>
        </w:rPr>
      </w:pPr>
      <w:r>
        <w:rPr>
          <w:rFonts w:ascii="FreeSans" w:hAnsi="FreeSans"/>
          <w:color w:val="1A1A1A"/>
        </w:rPr>
        <w:t>Table 1: Australian Qualification Framework</w:t>
      </w:r>
    </w:p>
    <w:p>
      <w:pPr>
        <w:pStyle w:val="Normal"/>
        <w:widowControl w:val="false"/>
        <w:spacing w:lineRule="auto" w:line="360"/>
        <w:rPr>
          <w:rFonts w:ascii="FreeSans" w:hAnsi="FreeSans"/>
          <w:color w:val="1A1A1A"/>
        </w:rPr>
      </w:pPr>
      <w:r>
        <w:rPr>
          <w:rFonts w:ascii="FreeSans" w:hAnsi="FreeSans"/>
          <w:color w:val="1A1A1A"/>
        </w:rPr>
      </w:r>
    </w:p>
    <w:tbl>
      <w:tblPr>
        <w:tblStyle w:val="ListTable1Light-Accent31"/>
        <w:tblW w:w="9362" w:type="dxa"/>
        <w:jc w:val="center"/>
        <w:tblInd w:w="0" w:type="dxa"/>
        <w:tblBorders>
          <w:top w:val="single" w:sz="4" w:space="0" w:color="000000"/>
          <w:left w:val="single" w:sz="4"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Look w:noVBand="1" w:val="04a0" w:noHBand="0" w:lastColumn="0" w:firstColumn="1" w:lastRow="0" w:firstRow="1"/>
      </w:tblPr>
      <w:tblGrid>
        <w:gridCol w:w="4681"/>
        <w:gridCol w:w="4680"/>
      </w:tblGrid>
      <w:tr>
        <w:trPr>
          <w:trHeight w:val="346" w:hRule="atLeast"/>
          <w:cnfStyle w:val="100000000000" w:firstRow="1" w:lastRow="0" w:firstColumn="0" w:lastColumn="0" w:oddVBand="0" w:evenVBand="0" w:oddHBand="0" w:evenHBand="0" w:firstRowFirstColumn="0" w:firstRowLastColumn="0" w:lastRowFirstColumn="0" w:lastRowLastColumn="0"/>
        </w:trPr>
        <w:tc>
          <w:tcPr>
            <w:tcW w:w="4681" w:type="dxa"/>
            <w:cnfStyle w:val="001000000000" w:firstRow="0" w:lastRow="0" w:firstColumn="1" w:lastColumn="0" w:oddVBand="0" w:evenVBand="0" w:oddHBand="0" w:evenHBand="0" w:firstRowFirstColumn="0" w:firstRowLastColumn="0" w:lastRowFirstColumn="0" w:lastRowLastColumn="0"/>
            <w:tcBorders>
              <w:top w:val="single" w:sz="4" w:space="0" w:color="000000"/>
              <w:left w:val="single" w:sz="4"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lineRule="auto" w:line="360"/>
              <w:rPr>
                <w:color w:val="1A1A1A"/>
              </w:rPr>
            </w:pPr>
            <w:r>
              <w:rPr>
                <w:rFonts w:ascii="FreeSans" w:hAnsi="FreeSans"/>
                <w:b/>
                <w:bCs/>
                <w:color w:val="1A1A1A"/>
                <w:lang w:val="en-US"/>
              </w:rPr>
              <w:t>Level</w:t>
            </w:r>
          </w:p>
        </w:tc>
        <w:tc>
          <w:tcPr>
            <w:tcW w:w="4680" w:type="dxa"/>
            <w:tcBorders>
              <w:top w:val="single" w:sz="4" w:space="0" w:color="000000"/>
              <w:left w:val="single" w:sz="6" w:space="0" w:color="000000"/>
              <w:bottom w:val="single" w:sz="6" w:space="0" w:color="000000"/>
              <w:right w:val="single" w:sz="4" w:space="0" w:color="000000"/>
              <w:insideH w:val="single" w:sz="6" w:space="0" w:color="000000"/>
              <w:insideV w:val="single" w:sz="4" w:space="0" w:color="000000"/>
            </w:tcBorders>
            <w:shd w:fill="auto" w:val="clear"/>
          </w:tcPr>
          <w:p>
            <w:pPr>
              <w:pStyle w:val="Normal"/>
              <w:widowControl w:val="false"/>
              <w:spacing w:lineRule="auto" w:line="360"/>
              <w:cnfStyle w:val="100000000000" w:firstRow="1" w:lastRow="0" w:firstColumn="0" w:lastColumn="0" w:oddVBand="0" w:evenVBand="0" w:oddHBand="0" w:evenHBand="0" w:firstRowFirstColumn="0" w:firstRowLastColumn="0" w:lastRowFirstColumn="0" w:lastRowLastColumn="0"/>
              <w:rPr>
                <w:color w:val="1A1A1A"/>
              </w:rPr>
            </w:pPr>
            <w:r>
              <w:rPr>
                <w:rFonts w:ascii="FreeSans" w:hAnsi="FreeSans"/>
                <w:b/>
                <w:bCs/>
                <w:color w:val="1A1A1A"/>
                <w:lang w:val="en-US"/>
              </w:rPr>
              <w:t>Qualification</w:t>
            </w:r>
          </w:p>
        </w:tc>
      </w:tr>
      <w:tr>
        <w:trPr>
          <w:trHeight w:val="346" w:hRule="atLeast"/>
          <w:cnfStyle w:val="000000100000" w:firstRow="0" w:lastRow="0" w:firstColumn="0" w:lastColumn="0" w:oddVBand="0" w:evenVBand="0" w:oddHBand="1" w:evenHBand="0" w:firstRowFirstColumn="0" w:firstRowLastColumn="0" w:lastRowFirstColumn="0" w:lastRowLastColumn="0"/>
        </w:trPr>
        <w:tc>
          <w:tcPr>
            <w:tcW w:w="4681" w:type="dxa"/>
            <w:cnfStyle w:val="001000000000" w:firstRow="0" w:lastRow="0" w:firstColumn="1" w:lastColumn="0" w:oddVBand="0" w:evenVBand="0" w:oddHBand="0" w:evenHBand="0" w:firstRowFirstColumn="0" w:firstRowLastColumn="0" w:lastRowFirstColumn="0" w:lastRowLastColumn="0"/>
            <w:tcBorders>
              <w:top w:val="single" w:sz="6" w:space="0" w:color="000000"/>
              <w:left w:val="single" w:sz="4" w:space="0" w:color="000000"/>
              <w:bottom w:val="single" w:sz="6" w:space="0" w:color="000000"/>
              <w:right w:val="single" w:sz="6" w:space="0" w:color="000000"/>
              <w:insideH w:val="single" w:sz="6" w:space="0" w:color="000000"/>
              <w:insideV w:val="single" w:sz="6" w:space="0" w:color="000000"/>
            </w:tcBorders>
            <w:shd w:color="auto" w:fill="EDEDED" w:themeFill="accent3" w:themeFillTint="33" w:val="clear"/>
          </w:tcPr>
          <w:p>
            <w:pPr>
              <w:pStyle w:val="Normal"/>
              <w:widowControl w:val="false"/>
              <w:spacing w:lineRule="auto" w:line="360"/>
              <w:rPr>
                <w:b w:val="false"/>
                <w:b w:val="false"/>
                <w:color w:val="1A1A1A"/>
              </w:rPr>
            </w:pPr>
            <w:r>
              <w:rPr>
                <w:rFonts w:ascii="FreeSans" w:hAnsi="FreeSans"/>
                <w:b w:val="false"/>
                <w:bCs/>
                <w:color w:val="1A1A1A"/>
                <w:lang w:val="en-US"/>
              </w:rPr>
              <w:t>1</w:t>
            </w:r>
          </w:p>
        </w:tc>
        <w:tc>
          <w:tcPr>
            <w:tcW w:w="4680"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color="auto" w:fill="EDEDED" w:themeFill="accent3" w:themeFillTint="33" w:val="clear"/>
          </w:tcPr>
          <w:p>
            <w:pPr>
              <w:pStyle w:val="Normal"/>
              <w:widowControl w:val="false"/>
              <w:spacing w:lineRule="auto" w:line="360"/>
              <w:cnfStyle w:val="000000100000" w:firstRow="0" w:lastRow="0" w:firstColumn="0" w:lastColumn="0" w:oddVBand="0" w:evenVBand="0" w:oddHBand="1" w:evenHBand="0" w:firstRowFirstColumn="0" w:firstRowLastColumn="0" w:lastRowFirstColumn="0" w:lastRowLastColumn="0"/>
              <w:rPr>
                <w:color w:val="1A1A1A"/>
              </w:rPr>
            </w:pPr>
            <w:r>
              <w:rPr>
                <w:rFonts w:ascii="FreeSans" w:hAnsi="FreeSans"/>
                <w:color w:val="1A1A1A"/>
                <w:lang w:val="en-US"/>
              </w:rPr>
              <w:t>Certificate i</w:t>
            </w:r>
          </w:p>
        </w:tc>
      </w:tr>
      <w:tr>
        <w:trPr>
          <w:trHeight w:val="346" w:hRule="atLeast"/>
        </w:trPr>
        <w:tc>
          <w:tcPr>
            <w:tcW w:w="4681" w:type="dxa"/>
            <w:cnfStyle w:val="001000000000" w:firstRow="0" w:lastRow="0" w:firstColumn="1" w:lastColumn="0" w:oddVBand="0" w:evenVBand="0" w:oddHBand="0" w:evenHBand="0" w:firstRowFirstColumn="0" w:firstRowLastColumn="0" w:lastRowFirstColumn="0" w:lastRowLastColumn="0"/>
            <w:tcBorders>
              <w:top w:val="single" w:sz="6" w:space="0" w:color="000000"/>
              <w:left w:val="single" w:sz="4"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lineRule="auto" w:line="360"/>
              <w:rPr>
                <w:b w:val="false"/>
                <w:b w:val="false"/>
                <w:color w:val="1A1A1A"/>
              </w:rPr>
            </w:pPr>
            <w:r>
              <w:rPr>
                <w:rFonts w:ascii="FreeSans" w:hAnsi="FreeSans"/>
                <w:b w:val="false"/>
                <w:bCs/>
                <w:color w:val="1A1A1A"/>
                <w:lang w:val="en-US"/>
              </w:rPr>
              <w:t>2</w:t>
            </w:r>
          </w:p>
        </w:tc>
        <w:tc>
          <w:tcPr>
            <w:tcW w:w="4680"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fill="auto" w:val="clear"/>
          </w:tcPr>
          <w:p>
            <w:pPr>
              <w:pStyle w:val="Normal"/>
              <w:widowControl w:val="false"/>
              <w:spacing w:lineRule="auto" w:line="360"/>
              <w:cnfStyle w:val="000000000000" w:firstRow="0" w:lastRow="0" w:firstColumn="0" w:lastColumn="0" w:oddVBand="0" w:evenVBand="0" w:oddHBand="0" w:evenHBand="0" w:firstRowFirstColumn="0" w:firstRowLastColumn="0" w:lastRowFirstColumn="0" w:lastRowLastColumn="0"/>
              <w:rPr>
                <w:color w:val="1A1A1A"/>
              </w:rPr>
            </w:pPr>
            <w:r>
              <w:rPr>
                <w:rFonts w:ascii="FreeSans" w:hAnsi="FreeSans"/>
                <w:color w:val="1A1A1A"/>
                <w:lang w:val="en-US"/>
              </w:rPr>
              <w:t>Certificate ii</w:t>
            </w:r>
          </w:p>
        </w:tc>
      </w:tr>
      <w:tr>
        <w:trPr>
          <w:trHeight w:val="346" w:hRule="atLeast"/>
          <w:cnfStyle w:val="000000100000" w:firstRow="0" w:lastRow="0" w:firstColumn="0" w:lastColumn="0" w:oddVBand="0" w:evenVBand="0" w:oddHBand="1" w:evenHBand="0" w:firstRowFirstColumn="0" w:firstRowLastColumn="0" w:lastRowFirstColumn="0" w:lastRowLastColumn="0"/>
        </w:trPr>
        <w:tc>
          <w:tcPr>
            <w:tcW w:w="4681" w:type="dxa"/>
            <w:cnfStyle w:val="001000000000" w:firstRow="0" w:lastRow="0" w:firstColumn="1" w:lastColumn="0" w:oddVBand="0" w:evenVBand="0" w:oddHBand="0" w:evenHBand="0" w:firstRowFirstColumn="0" w:firstRowLastColumn="0" w:lastRowFirstColumn="0" w:lastRowLastColumn="0"/>
            <w:tcBorders>
              <w:top w:val="single" w:sz="6" w:space="0" w:color="000000"/>
              <w:left w:val="single" w:sz="4" w:space="0" w:color="000000"/>
              <w:bottom w:val="single" w:sz="6" w:space="0" w:color="000000"/>
              <w:right w:val="single" w:sz="6" w:space="0" w:color="000000"/>
              <w:insideH w:val="single" w:sz="6" w:space="0" w:color="000000"/>
              <w:insideV w:val="single" w:sz="6" w:space="0" w:color="000000"/>
            </w:tcBorders>
            <w:shd w:color="auto" w:fill="EDEDED" w:themeFill="accent3" w:themeFillTint="33" w:val="clear"/>
          </w:tcPr>
          <w:p>
            <w:pPr>
              <w:pStyle w:val="Normal"/>
              <w:widowControl w:val="false"/>
              <w:spacing w:lineRule="auto" w:line="360"/>
              <w:rPr>
                <w:b w:val="false"/>
                <w:b w:val="false"/>
                <w:color w:val="1A1A1A"/>
              </w:rPr>
            </w:pPr>
            <w:r>
              <w:rPr>
                <w:rFonts w:ascii="FreeSans" w:hAnsi="FreeSans"/>
                <w:b w:val="false"/>
                <w:bCs/>
                <w:color w:val="1A1A1A"/>
                <w:lang w:val="en-US"/>
              </w:rPr>
              <w:t>3</w:t>
            </w:r>
          </w:p>
        </w:tc>
        <w:tc>
          <w:tcPr>
            <w:tcW w:w="4680"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color="auto" w:fill="EDEDED" w:themeFill="accent3" w:themeFillTint="33" w:val="clear"/>
          </w:tcPr>
          <w:p>
            <w:pPr>
              <w:pStyle w:val="Normal"/>
              <w:widowControl w:val="false"/>
              <w:spacing w:lineRule="auto" w:line="360"/>
              <w:cnfStyle w:val="000000100000" w:firstRow="0" w:lastRow="0" w:firstColumn="0" w:lastColumn="0" w:oddVBand="0" w:evenVBand="0" w:oddHBand="1" w:evenHBand="0" w:firstRowFirstColumn="0" w:firstRowLastColumn="0" w:lastRowFirstColumn="0" w:lastRowLastColumn="0"/>
              <w:rPr>
                <w:color w:val="1A1A1A"/>
              </w:rPr>
            </w:pPr>
            <w:r>
              <w:rPr>
                <w:rFonts w:ascii="FreeSans" w:hAnsi="FreeSans"/>
                <w:color w:val="1A1A1A"/>
                <w:lang w:val="en-US"/>
              </w:rPr>
              <w:t>Certificate iii</w:t>
            </w:r>
          </w:p>
        </w:tc>
      </w:tr>
      <w:tr>
        <w:trPr>
          <w:trHeight w:val="346" w:hRule="atLeast"/>
        </w:trPr>
        <w:tc>
          <w:tcPr>
            <w:tcW w:w="4681" w:type="dxa"/>
            <w:cnfStyle w:val="001000000000" w:firstRow="0" w:lastRow="0" w:firstColumn="1" w:lastColumn="0" w:oddVBand="0" w:evenVBand="0" w:oddHBand="0" w:evenHBand="0" w:firstRowFirstColumn="0" w:firstRowLastColumn="0" w:lastRowFirstColumn="0" w:lastRowLastColumn="0"/>
            <w:tcBorders>
              <w:top w:val="single" w:sz="6" w:space="0" w:color="000000"/>
              <w:left w:val="single" w:sz="4"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lineRule="auto" w:line="360"/>
              <w:rPr>
                <w:b w:val="false"/>
                <w:b w:val="false"/>
                <w:color w:val="1A1A1A"/>
              </w:rPr>
            </w:pPr>
            <w:r>
              <w:rPr>
                <w:rFonts w:ascii="FreeSans" w:hAnsi="FreeSans"/>
                <w:b w:val="false"/>
                <w:bCs/>
                <w:color w:val="1A1A1A"/>
                <w:lang w:val="en-US"/>
              </w:rPr>
              <w:t>4</w:t>
            </w:r>
          </w:p>
        </w:tc>
        <w:tc>
          <w:tcPr>
            <w:tcW w:w="4680"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fill="auto" w:val="clear"/>
          </w:tcPr>
          <w:p>
            <w:pPr>
              <w:pStyle w:val="Normal"/>
              <w:widowControl w:val="false"/>
              <w:spacing w:lineRule="auto" w:line="360"/>
              <w:cnfStyle w:val="000000000000" w:firstRow="0" w:lastRow="0" w:firstColumn="0" w:lastColumn="0" w:oddVBand="0" w:evenVBand="0" w:oddHBand="0" w:evenHBand="0" w:firstRowFirstColumn="0" w:firstRowLastColumn="0" w:lastRowFirstColumn="0" w:lastRowLastColumn="0"/>
              <w:rPr>
                <w:color w:val="1A1A1A"/>
              </w:rPr>
            </w:pPr>
            <w:r>
              <w:rPr>
                <w:rFonts w:ascii="FreeSans" w:hAnsi="FreeSans"/>
                <w:color w:val="1A1A1A"/>
                <w:lang w:val="en-US"/>
              </w:rPr>
              <w:t>Certificate iv</w:t>
            </w:r>
          </w:p>
        </w:tc>
      </w:tr>
      <w:tr>
        <w:trPr>
          <w:trHeight w:val="346" w:hRule="atLeast"/>
          <w:cnfStyle w:val="000000100000" w:firstRow="0" w:lastRow="0" w:firstColumn="0" w:lastColumn="0" w:oddVBand="0" w:evenVBand="0" w:oddHBand="1" w:evenHBand="0" w:firstRowFirstColumn="0" w:firstRowLastColumn="0" w:lastRowFirstColumn="0" w:lastRowLastColumn="0"/>
        </w:trPr>
        <w:tc>
          <w:tcPr>
            <w:tcW w:w="4681" w:type="dxa"/>
            <w:cnfStyle w:val="001000000000" w:firstRow="0" w:lastRow="0" w:firstColumn="1" w:lastColumn="0" w:oddVBand="0" w:evenVBand="0" w:oddHBand="0" w:evenHBand="0" w:firstRowFirstColumn="0" w:firstRowLastColumn="0" w:lastRowFirstColumn="0" w:lastRowLastColumn="0"/>
            <w:tcBorders>
              <w:top w:val="single" w:sz="6" w:space="0" w:color="000000"/>
              <w:left w:val="single" w:sz="4" w:space="0" w:color="000000"/>
              <w:bottom w:val="single" w:sz="6" w:space="0" w:color="000000"/>
              <w:right w:val="single" w:sz="6" w:space="0" w:color="000000"/>
              <w:insideH w:val="single" w:sz="6" w:space="0" w:color="000000"/>
              <w:insideV w:val="single" w:sz="6" w:space="0" w:color="000000"/>
            </w:tcBorders>
            <w:shd w:color="auto" w:fill="EDEDED" w:themeFill="accent3" w:themeFillTint="33" w:val="clear"/>
          </w:tcPr>
          <w:p>
            <w:pPr>
              <w:pStyle w:val="Normal"/>
              <w:widowControl w:val="false"/>
              <w:spacing w:lineRule="auto" w:line="360"/>
              <w:rPr>
                <w:b w:val="false"/>
                <w:b w:val="false"/>
                <w:color w:val="1A1A1A"/>
              </w:rPr>
            </w:pPr>
            <w:r>
              <w:rPr>
                <w:rFonts w:ascii="FreeSans" w:hAnsi="FreeSans"/>
                <w:b w:val="false"/>
                <w:bCs/>
                <w:color w:val="1A1A1A"/>
                <w:lang w:val="en-US"/>
              </w:rPr>
              <w:t>5</w:t>
            </w:r>
          </w:p>
        </w:tc>
        <w:tc>
          <w:tcPr>
            <w:tcW w:w="4680"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color="auto" w:fill="EDEDED" w:themeFill="accent3" w:themeFillTint="33" w:val="clear"/>
          </w:tcPr>
          <w:p>
            <w:pPr>
              <w:pStyle w:val="Normal"/>
              <w:widowControl w:val="false"/>
              <w:spacing w:lineRule="auto" w:line="360"/>
              <w:cnfStyle w:val="000000100000" w:firstRow="0" w:lastRow="0" w:firstColumn="0" w:lastColumn="0" w:oddVBand="0" w:evenVBand="0" w:oddHBand="1" w:evenHBand="0" w:firstRowFirstColumn="0" w:firstRowLastColumn="0" w:lastRowFirstColumn="0" w:lastRowLastColumn="0"/>
              <w:rPr>
                <w:color w:val="1A1A1A"/>
              </w:rPr>
            </w:pPr>
            <w:r>
              <w:rPr>
                <w:rFonts w:ascii="FreeSans" w:hAnsi="FreeSans"/>
                <w:color w:val="1A1A1A"/>
                <w:lang w:val="en-US"/>
              </w:rPr>
              <w:t>Diploma</w:t>
            </w:r>
          </w:p>
        </w:tc>
      </w:tr>
      <w:tr>
        <w:trPr>
          <w:trHeight w:val="346" w:hRule="atLeast"/>
        </w:trPr>
        <w:tc>
          <w:tcPr>
            <w:tcW w:w="4681" w:type="dxa"/>
            <w:cnfStyle w:val="001000000000" w:firstRow="0" w:lastRow="0" w:firstColumn="1" w:lastColumn="0" w:oddVBand="0" w:evenVBand="0" w:oddHBand="0" w:evenHBand="0" w:firstRowFirstColumn="0" w:firstRowLastColumn="0" w:lastRowFirstColumn="0" w:lastRowLastColumn="0"/>
            <w:tcBorders>
              <w:top w:val="single" w:sz="6" w:space="0" w:color="000000"/>
              <w:left w:val="single" w:sz="4"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lineRule="auto" w:line="360"/>
              <w:rPr>
                <w:b w:val="false"/>
                <w:b w:val="false"/>
                <w:color w:val="1A1A1A"/>
              </w:rPr>
            </w:pPr>
            <w:r>
              <w:rPr>
                <w:rFonts w:ascii="FreeSans" w:hAnsi="FreeSans"/>
                <w:b w:val="false"/>
                <w:bCs/>
                <w:color w:val="1A1A1A"/>
                <w:lang w:val="en-US"/>
              </w:rPr>
              <w:t>6</w:t>
            </w:r>
          </w:p>
        </w:tc>
        <w:tc>
          <w:tcPr>
            <w:tcW w:w="4680"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fill="auto" w:val="clear"/>
          </w:tcPr>
          <w:p>
            <w:pPr>
              <w:pStyle w:val="Normal"/>
              <w:widowControl w:val="false"/>
              <w:spacing w:lineRule="auto" w:line="360"/>
              <w:cnfStyle w:val="000000000000" w:firstRow="0" w:lastRow="0" w:firstColumn="0" w:lastColumn="0" w:oddVBand="0" w:evenVBand="0" w:oddHBand="0" w:evenHBand="0" w:firstRowFirstColumn="0" w:firstRowLastColumn="0" w:lastRowFirstColumn="0" w:lastRowLastColumn="0"/>
              <w:rPr>
                <w:color w:val="1A1A1A"/>
              </w:rPr>
            </w:pPr>
            <w:r>
              <w:rPr>
                <w:rFonts w:ascii="FreeSans" w:hAnsi="FreeSans"/>
                <w:color w:val="1A1A1A"/>
                <w:lang w:val="en-US"/>
              </w:rPr>
              <w:t>Advance Diploma</w:t>
            </w:r>
          </w:p>
        </w:tc>
      </w:tr>
      <w:tr>
        <w:trPr>
          <w:trHeight w:val="346" w:hRule="atLeast"/>
          <w:cnfStyle w:val="000000100000" w:firstRow="0" w:lastRow="0" w:firstColumn="0" w:lastColumn="0" w:oddVBand="0" w:evenVBand="0" w:oddHBand="1" w:evenHBand="0" w:firstRowFirstColumn="0" w:firstRowLastColumn="0" w:lastRowFirstColumn="0" w:lastRowLastColumn="0"/>
        </w:trPr>
        <w:tc>
          <w:tcPr>
            <w:tcW w:w="4681" w:type="dxa"/>
            <w:cnfStyle w:val="001000000000" w:firstRow="0" w:lastRow="0" w:firstColumn="1" w:lastColumn="0" w:oddVBand="0" w:evenVBand="0" w:oddHBand="0" w:evenHBand="0" w:firstRowFirstColumn="0" w:firstRowLastColumn="0" w:lastRowFirstColumn="0" w:lastRowLastColumn="0"/>
            <w:tcBorders>
              <w:top w:val="single" w:sz="6" w:space="0" w:color="000000"/>
              <w:left w:val="single" w:sz="4" w:space="0" w:color="000000"/>
              <w:bottom w:val="single" w:sz="6" w:space="0" w:color="000000"/>
              <w:right w:val="single" w:sz="6" w:space="0" w:color="000000"/>
              <w:insideH w:val="single" w:sz="6" w:space="0" w:color="000000"/>
              <w:insideV w:val="single" w:sz="6" w:space="0" w:color="000000"/>
            </w:tcBorders>
            <w:shd w:color="auto" w:fill="EDEDED" w:themeFill="accent3" w:themeFillTint="33" w:val="clear"/>
          </w:tcPr>
          <w:p>
            <w:pPr>
              <w:pStyle w:val="Normal"/>
              <w:widowControl w:val="false"/>
              <w:spacing w:lineRule="auto" w:line="360"/>
              <w:rPr>
                <w:b w:val="false"/>
                <w:b w:val="false"/>
                <w:color w:val="1A1A1A"/>
              </w:rPr>
            </w:pPr>
            <w:r>
              <w:rPr>
                <w:rFonts w:ascii="FreeSans" w:hAnsi="FreeSans"/>
                <w:b w:val="false"/>
                <w:bCs/>
                <w:color w:val="1A1A1A"/>
                <w:lang w:val="en-US"/>
              </w:rPr>
              <w:t>7</w:t>
            </w:r>
          </w:p>
        </w:tc>
        <w:tc>
          <w:tcPr>
            <w:tcW w:w="4680"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color="auto" w:fill="EDEDED" w:themeFill="accent3" w:themeFillTint="33" w:val="clear"/>
          </w:tcPr>
          <w:p>
            <w:pPr>
              <w:pStyle w:val="Normal"/>
              <w:widowControl w:val="false"/>
              <w:spacing w:lineRule="auto" w:line="360"/>
              <w:cnfStyle w:val="000000100000" w:firstRow="0" w:lastRow="0" w:firstColumn="0" w:lastColumn="0" w:oddVBand="0" w:evenVBand="0" w:oddHBand="1" w:evenHBand="0" w:firstRowFirstColumn="0" w:firstRowLastColumn="0" w:lastRowFirstColumn="0" w:lastRowLastColumn="0"/>
              <w:rPr>
                <w:color w:val="1A1A1A"/>
              </w:rPr>
            </w:pPr>
            <w:r>
              <w:rPr>
                <w:rFonts w:ascii="FreeSans" w:hAnsi="FreeSans"/>
                <w:color w:val="1A1A1A"/>
                <w:lang w:val="en-US"/>
              </w:rPr>
              <w:t>Bachelor Degree</w:t>
            </w:r>
          </w:p>
        </w:tc>
      </w:tr>
      <w:tr>
        <w:trPr>
          <w:trHeight w:val="346" w:hRule="atLeast"/>
        </w:trPr>
        <w:tc>
          <w:tcPr>
            <w:tcW w:w="4681" w:type="dxa"/>
            <w:cnfStyle w:val="001000000000" w:firstRow="0" w:lastRow="0" w:firstColumn="1" w:lastColumn="0" w:oddVBand="0" w:evenVBand="0" w:oddHBand="0" w:evenHBand="0" w:firstRowFirstColumn="0" w:firstRowLastColumn="0" w:lastRowFirstColumn="0" w:lastRowLastColumn="0"/>
            <w:tcBorders>
              <w:top w:val="single" w:sz="6" w:space="0" w:color="000000"/>
              <w:left w:val="single" w:sz="4" w:space="0" w:color="000000"/>
              <w:bottom w:val="single" w:sz="6" w:space="0" w:color="000000"/>
              <w:right w:val="single" w:sz="6" w:space="0" w:color="000000"/>
              <w:insideH w:val="single" w:sz="6" w:space="0" w:color="000000"/>
              <w:insideV w:val="single" w:sz="6" w:space="0" w:color="000000"/>
            </w:tcBorders>
            <w:shd w:fill="auto" w:val="clear"/>
          </w:tcPr>
          <w:p>
            <w:pPr>
              <w:pStyle w:val="Normal"/>
              <w:widowControl w:val="false"/>
              <w:spacing w:lineRule="auto" w:line="360"/>
              <w:rPr>
                <w:b w:val="false"/>
                <w:b w:val="false"/>
                <w:color w:val="1A1A1A"/>
              </w:rPr>
            </w:pPr>
            <w:r>
              <w:rPr>
                <w:rFonts w:ascii="FreeSans" w:hAnsi="FreeSans"/>
                <w:b w:val="false"/>
                <w:bCs/>
                <w:color w:val="1A1A1A"/>
                <w:lang w:val="en-US"/>
              </w:rPr>
              <w:t>8</w:t>
            </w:r>
          </w:p>
        </w:tc>
        <w:tc>
          <w:tcPr>
            <w:tcW w:w="4680"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fill="auto" w:val="clear"/>
          </w:tcPr>
          <w:p>
            <w:pPr>
              <w:pStyle w:val="Normal"/>
              <w:widowControl w:val="false"/>
              <w:spacing w:lineRule="auto" w:line="360"/>
              <w:cnfStyle w:val="000000000000" w:firstRow="0" w:lastRow="0" w:firstColumn="0" w:lastColumn="0" w:oddVBand="0" w:evenVBand="0" w:oddHBand="0" w:evenHBand="0" w:firstRowFirstColumn="0" w:firstRowLastColumn="0" w:lastRowFirstColumn="0" w:lastRowLastColumn="0"/>
              <w:rPr>
                <w:color w:val="1A1A1A"/>
              </w:rPr>
            </w:pPr>
            <w:r>
              <w:rPr>
                <w:rFonts w:ascii="FreeSans" w:hAnsi="FreeSans"/>
                <w:color w:val="1A1A1A"/>
                <w:lang w:val="en-US"/>
              </w:rPr>
              <w:t>Bachelor Honours Degree; Graduate Certificate</w:t>
            </w:r>
          </w:p>
        </w:tc>
      </w:tr>
      <w:tr>
        <w:trPr>
          <w:trHeight w:val="376" w:hRule="atLeast"/>
          <w:cnfStyle w:val="000000100000" w:firstRow="0" w:lastRow="0" w:firstColumn="0" w:lastColumn="0" w:oddVBand="0" w:evenVBand="0" w:oddHBand="1" w:evenHBand="0" w:firstRowFirstColumn="0" w:firstRowLastColumn="0" w:lastRowFirstColumn="0" w:lastRowLastColumn="0"/>
        </w:trPr>
        <w:tc>
          <w:tcPr>
            <w:tcW w:w="4681" w:type="dxa"/>
            <w:cnfStyle w:val="001000000000" w:firstRow="0" w:lastRow="0" w:firstColumn="1" w:lastColumn="0" w:oddVBand="0" w:evenVBand="0" w:oddHBand="0" w:evenHBand="0" w:firstRowFirstColumn="0" w:firstRowLastColumn="0" w:lastRowFirstColumn="0" w:lastRowLastColumn="0"/>
            <w:tcBorders>
              <w:top w:val="single" w:sz="6" w:space="0" w:color="000000"/>
              <w:left w:val="single" w:sz="4" w:space="0" w:color="000000"/>
              <w:bottom w:val="single" w:sz="6" w:space="0" w:color="000000"/>
              <w:right w:val="single" w:sz="6" w:space="0" w:color="000000"/>
              <w:insideH w:val="single" w:sz="6" w:space="0" w:color="000000"/>
              <w:insideV w:val="single" w:sz="6" w:space="0" w:color="000000"/>
            </w:tcBorders>
            <w:shd w:color="auto" w:fill="EDEDED" w:themeFill="accent3" w:themeFillTint="33" w:val="clear"/>
          </w:tcPr>
          <w:p>
            <w:pPr>
              <w:pStyle w:val="Normal"/>
              <w:widowControl w:val="false"/>
              <w:spacing w:lineRule="auto" w:line="360"/>
              <w:rPr>
                <w:b w:val="false"/>
                <w:b w:val="false"/>
                <w:color w:val="1A1A1A"/>
              </w:rPr>
            </w:pPr>
            <w:r>
              <w:rPr>
                <w:rFonts w:ascii="FreeSans" w:hAnsi="FreeSans"/>
                <w:b w:val="false"/>
                <w:bCs/>
                <w:color w:val="1A1A1A"/>
                <w:lang w:val="en-US"/>
              </w:rPr>
              <w:t>9</w:t>
            </w:r>
          </w:p>
        </w:tc>
        <w:tc>
          <w:tcPr>
            <w:tcW w:w="4680"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color="auto" w:fill="EDEDED" w:themeFill="accent3" w:themeFillTint="33" w:val="clear"/>
          </w:tcPr>
          <w:p>
            <w:pPr>
              <w:pStyle w:val="Normal"/>
              <w:widowControl w:val="false"/>
              <w:spacing w:lineRule="auto" w:line="360"/>
              <w:cnfStyle w:val="000000100000" w:firstRow="0" w:lastRow="0" w:firstColumn="0" w:lastColumn="0" w:oddVBand="0" w:evenVBand="0" w:oddHBand="1" w:evenHBand="0" w:firstRowFirstColumn="0" w:firstRowLastColumn="0" w:lastRowFirstColumn="0" w:lastRowLastColumn="0"/>
              <w:rPr>
                <w:color w:val="1A1A1A"/>
              </w:rPr>
            </w:pPr>
            <w:r>
              <w:rPr>
                <w:rFonts w:ascii="FreeSans" w:hAnsi="FreeSans"/>
                <w:color w:val="1A1A1A"/>
                <w:lang w:val="en-US"/>
              </w:rPr>
              <w:t>Masters Degree</w:t>
            </w:r>
          </w:p>
        </w:tc>
      </w:tr>
      <w:tr>
        <w:trPr>
          <w:trHeight w:val="346" w:hRule="atLeast"/>
        </w:trPr>
        <w:tc>
          <w:tcPr>
            <w:tcW w:w="4681" w:type="dxa"/>
            <w:cnfStyle w:val="001000000000" w:firstRow="0" w:lastRow="0" w:firstColumn="1" w:lastColumn="0" w:oddVBand="0" w:evenVBand="0" w:oddHBand="0" w:evenHBand="0" w:firstRowFirstColumn="0" w:firstRowLastColumn="0" w:lastRowFirstColumn="0" w:lastRowLastColumn="0"/>
            <w:tcBorders>
              <w:top w:val="single" w:sz="6" w:space="0" w:color="000000"/>
              <w:left w:val="single" w:sz="4" w:space="0" w:color="000000"/>
              <w:bottom w:val="single" w:sz="4" w:space="0" w:color="000000"/>
              <w:right w:val="single" w:sz="6" w:space="0" w:color="000000"/>
              <w:insideH w:val="single" w:sz="4" w:space="0" w:color="000000"/>
              <w:insideV w:val="single" w:sz="6" w:space="0" w:color="000000"/>
            </w:tcBorders>
            <w:shd w:fill="auto" w:val="clear"/>
          </w:tcPr>
          <w:p>
            <w:pPr>
              <w:pStyle w:val="Normal"/>
              <w:widowControl w:val="false"/>
              <w:spacing w:lineRule="auto" w:line="360"/>
              <w:rPr>
                <w:b w:val="false"/>
                <w:b w:val="false"/>
                <w:color w:val="1A1A1A"/>
              </w:rPr>
            </w:pPr>
            <w:r>
              <w:rPr>
                <w:rFonts w:ascii="FreeSans" w:hAnsi="FreeSans"/>
                <w:b w:val="false"/>
                <w:bCs/>
                <w:color w:val="1A1A1A"/>
                <w:lang w:val="en-US"/>
              </w:rPr>
              <w:t>10</w:t>
            </w:r>
          </w:p>
        </w:tc>
        <w:tc>
          <w:tcPr>
            <w:tcW w:w="4680" w:type="dxa"/>
            <w:tcBorders>
              <w:top w:val="single" w:sz="6" w:space="0" w:color="000000"/>
              <w:left w:val="single" w:sz="6"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360"/>
              <w:cnfStyle w:val="000000000000" w:firstRow="0" w:lastRow="0" w:firstColumn="0" w:lastColumn="0" w:oddVBand="0" w:evenVBand="0" w:oddHBand="0" w:evenHBand="0" w:firstRowFirstColumn="0" w:firstRowLastColumn="0" w:lastRowFirstColumn="0" w:lastRowLastColumn="0"/>
              <w:rPr>
                <w:color w:val="1A1A1A"/>
              </w:rPr>
            </w:pPr>
            <w:r>
              <w:rPr>
                <w:rFonts w:ascii="FreeSans" w:hAnsi="FreeSans"/>
                <w:color w:val="1A1A1A"/>
                <w:lang w:val="en-US"/>
              </w:rPr>
              <w:t>Doctoral Degree</w:t>
            </w:r>
          </w:p>
        </w:tc>
      </w:tr>
    </w:tbl>
    <w:p>
      <w:pPr>
        <w:pStyle w:val="Normal"/>
        <w:widowControl w:val="false"/>
        <w:spacing w:lineRule="auto" w:line="360"/>
        <w:rPr>
          <w:rFonts w:ascii="FreeSans" w:hAnsi="FreeSans"/>
          <w:color w:val="1A1A1A"/>
        </w:rPr>
      </w:pPr>
      <w:r>
        <w:rPr>
          <w:rFonts w:ascii="FreeSans" w:hAnsi="FreeSans"/>
          <w:color w:val="1A1A1A"/>
        </w:rPr>
      </w:r>
    </w:p>
    <w:p>
      <w:pPr>
        <w:pStyle w:val="Normal"/>
        <w:widowControl w:val="false"/>
        <w:spacing w:lineRule="auto" w:line="360"/>
        <w:rPr>
          <w:i/>
          <w:i/>
          <w:color w:val="1A1A1A"/>
        </w:rPr>
      </w:pPr>
      <w:r>
        <w:rPr>
          <w:rFonts w:ascii="FreeSans" w:hAnsi="FreeSans"/>
          <w:iCs/>
          <w:color w:val="1A1A1A"/>
        </w:rPr>
        <w:t>Source:</w:t>
      </w:r>
      <w:r>
        <w:rPr>
          <w:rFonts w:ascii="FreeSans" w:hAnsi="FreeSans"/>
          <w:i/>
          <w:color w:val="1A1A1A"/>
        </w:rPr>
        <w:t xml:space="preserve"> </w:t>
      </w:r>
      <w:r>
        <w:rPr>
          <w:rFonts w:ascii="FreeSans" w:hAnsi="FreeSans"/>
          <w:color w:val="000000"/>
          <w:shd w:fill="FFFFFF" w:val="clear"/>
        </w:rPr>
        <w:t>(Aqf.edu.au, 2013)</w:t>
      </w:r>
      <w:r>
        <w:rPr>
          <w:rFonts w:ascii="FreeSans" w:hAnsi="FreeSans"/>
        </w:rPr>
        <w:t>.</w:t>
      </w:r>
    </w:p>
    <w:p>
      <w:pPr>
        <w:pStyle w:val="Normal"/>
        <w:widowControl w:val="false"/>
        <w:spacing w:lineRule="auto" w:line="360"/>
        <w:jc w:val="both"/>
        <w:rPr>
          <w:rFonts w:ascii="FreeSans" w:hAnsi="FreeSans"/>
          <w:color w:val="1A1A1A"/>
        </w:rPr>
      </w:pPr>
      <w:r>
        <w:rPr>
          <w:rFonts w:ascii="FreeSans" w:hAnsi="FreeSans"/>
          <w:color w:val="1A1A1A"/>
        </w:rPr>
      </w:r>
    </w:p>
    <w:p>
      <w:pPr>
        <w:pStyle w:val="Normal"/>
        <w:spacing w:lineRule="auto" w:line="360"/>
        <w:rPr>
          <w:rFonts w:ascii="FreeSans" w:hAnsi="FreeSans"/>
        </w:rPr>
      </w:pPr>
      <w:r>
        <w:rPr>
          <w:rFonts w:ascii="FreeSans" w:hAnsi="FreeSans"/>
        </w:rPr>
      </w:r>
    </w:p>
    <w:p>
      <w:pPr>
        <w:pStyle w:val="Normal"/>
        <w:spacing w:lineRule="auto" w:line="360"/>
        <w:rPr>
          <w:rFonts w:ascii="FreeSans" w:hAnsi="FreeSans"/>
        </w:rPr>
      </w:pPr>
      <w:r>
        <w:rPr>
          <w:rFonts w:ascii="FreeSans" w:hAnsi="FreeSans"/>
        </w:rPr>
      </w:r>
    </w:p>
    <w:p>
      <w:pPr>
        <w:pStyle w:val="Normal"/>
        <w:spacing w:lineRule="auto" w:line="360"/>
        <w:rPr>
          <w:rFonts w:ascii="FreeSans" w:hAnsi="FreeSans"/>
        </w:rPr>
      </w:pPr>
      <w:r>
        <w:rPr>
          <w:rFonts w:ascii="FreeSans" w:hAnsi="FreeSans"/>
        </w:rPr>
      </w:r>
    </w:p>
    <w:p>
      <w:pPr>
        <w:pStyle w:val="Heading1"/>
        <w:numPr>
          <w:ilvl w:val="0"/>
          <w:numId w:val="2"/>
        </w:numPr>
        <w:spacing w:lineRule="auto" w:line="360" w:before="69" w:after="0"/>
        <w:rPr/>
      </w:pPr>
      <w:r>
        <w:rPr/>
        <w:t>Research Methodology and Design</w:t>
      </w:r>
    </w:p>
    <w:p>
      <w:pPr>
        <w:pStyle w:val="Heading2"/>
        <w:numPr>
          <w:ilvl w:val="1"/>
          <w:numId w:val="2"/>
        </w:numPr>
        <w:spacing w:before="371" w:after="291"/>
        <w:rPr/>
      </w:pPr>
      <w:r>
        <w:rPr/>
        <w:t>Nature of the Study</w:t>
      </w:r>
    </w:p>
    <w:p>
      <w:pPr>
        <w:pStyle w:val="Normal"/>
        <w:spacing w:lineRule="auto" w:line="360" w:before="114" w:after="114"/>
        <w:rPr>
          <w:rFonts w:ascii="FreeSans" w:hAnsi="FreeSans"/>
        </w:rPr>
      </w:pPr>
      <w:r>
        <w:rPr>
          <w:rFonts w:ascii="FreeSans" w:hAnsi="FreeSans"/>
        </w:rPr>
        <w:t>This research project is qualitative in nature which is a combination of</w:t>
      </w:r>
      <w:r>
        <w:rPr>
          <w:rFonts w:ascii="FreeSans" w:hAnsi="FreeSans"/>
          <w:spacing w:val="16"/>
        </w:rPr>
        <w:t xml:space="preserve"> </w:t>
      </w:r>
      <w:r>
        <w:rPr>
          <w:rFonts w:ascii="FreeSans" w:hAnsi="FreeSans"/>
        </w:rPr>
        <w:t>detection</w:t>
      </w:r>
      <w:r>
        <w:rPr>
          <w:rFonts w:ascii="FreeSans" w:hAnsi="FreeSans"/>
          <w:spacing w:val="19"/>
        </w:rPr>
        <w:t xml:space="preserve"> </w:t>
      </w:r>
      <w:r>
        <w:rPr>
          <w:rFonts w:ascii="FreeSans" w:hAnsi="FreeSans"/>
        </w:rPr>
        <w:t>and</w:t>
      </w:r>
      <w:r>
        <w:rPr>
          <w:rFonts w:ascii="FreeSans" w:hAnsi="FreeSans"/>
          <w:spacing w:val="10"/>
        </w:rPr>
        <w:t xml:space="preserve"> </w:t>
      </w:r>
      <w:r>
        <w:rPr>
          <w:rFonts w:ascii="FreeSans" w:hAnsi="FreeSans"/>
        </w:rPr>
        <w:t>the</w:t>
      </w:r>
      <w:r>
        <w:rPr>
          <w:rFonts w:ascii="FreeSans" w:hAnsi="FreeSans"/>
          <w:spacing w:val="12"/>
        </w:rPr>
        <w:t xml:space="preserve"> </w:t>
      </w:r>
      <w:r>
        <w:rPr>
          <w:rFonts w:ascii="FreeSans" w:hAnsi="FreeSans"/>
        </w:rPr>
        <w:t>tasks of</w:t>
      </w:r>
      <w:r>
        <w:rPr>
          <w:rFonts w:ascii="FreeSans" w:hAnsi="FreeSans"/>
          <w:spacing w:val="6"/>
        </w:rPr>
        <w:t xml:space="preserve"> </w:t>
      </w:r>
      <w:r>
        <w:rPr>
          <w:rFonts w:ascii="FreeSans" w:hAnsi="FreeSans"/>
        </w:rPr>
        <w:t>defining,</w:t>
      </w:r>
      <w:r>
        <w:rPr>
          <w:rFonts w:ascii="FreeSans" w:hAnsi="FreeSans"/>
          <w:spacing w:val="-5"/>
        </w:rPr>
        <w:t xml:space="preserve"> </w:t>
      </w:r>
      <w:r>
        <w:rPr>
          <w:rFonts w:ascii="FreeSans" w:hAnsi="FreeSans"/>
        </w:rPr>
        <w:t>categorizing,</w:t>
      </w:r>
      <w:r>
        <w:rPr>
          <w:rFonts w:ascii="FreeSans" w:hAnsi="FreeSans"/>
          <w:spacing w:val="5"/>
        </w:rPr>
        <w:t xml:space="preserve"> </w:t>
      </w:r>
      <w:r>
        <w:rPr>
          <w:rFonts w:ascii="FreeSans" w:hAnsi="FreeSans"/>
        </w:rPr>
        <w:t>theorizing,</w:t>
      </w:r>
      <w:r>
        <w:rPr>
          <w:rFonts w:ascii="FreeSans" w:hAnsi="FreeSans"/>
          <w:spacing w:val="14"/>
        </w:rPr>
        <w:t xml:space="preserve"> </w:t>
      </w:r>
      <w:r>
        <w:rPr>
          <w:rFonts w:ascii="FreeSans" w:hAnsi="FreeSans"/>
        </w:rPr>
        <w:t>explaining,</w:t>
      </w:r>
      <w:r>
        <w:rPr>
          <w:rFonts w:ascii="FreeSans" w:hAnsi="FreeSans"/>
          <w:spacing w:val="4"/>
        </w:rPr>
        <w:t xml:space="preserve"> </w:t>
      </w:r>
      <w:r>
        <w:rPr>
          <w:rFonts w:ascii="FreeSans" w:hAnsi="FreeSans"/>
        </w:rPr>
        <w:t>exploring</w:t>
      </w:r>
      <w:r>
        <w:rPr>
          <w:rFonts w:ascii="FreeSans" w:hAnsi="FreeSans"/>
          <w:spacing w:val="6"/>
        </w:rPr>
        <w:t xml:space="preserve"> </w:t>
      </w:r>
      <w:r>
        <w:rPr>
          <w:rFonts w:ascii="FreeSans" w:hAnsi="FreeSans"/>
        </w:rPr>
        <w:t>and</w:t>
      </w:r>
      <w:r>
        <w:rPr>
          <w:rFonts w:ascii="FreeSans" w:hAnsi="FreeSans"/>
          <w:spacing w:val="-8"/>
        </w:rPr>
        <w:t xml:space="preserve"> </w:t>
      </w:r>
      <w:r>
        <w:rPr>
          <w:rFonts w:ascii="FreeSans" w:hAnsi="FreeSans"/>
        </w:rPr>
        <w:t>mapping</w:t>
      </w:r>
      <w:r>
        <w:rPr>
          <w:rFonts w:ascii="FreeSans" w:hAnsi="FreeSans"/>
          <w:color w:val="262626"/>
        </w:rPr>
        <w:t xml:space="preserve"> </w:t>
      </w:r>
      <w:r>
        <w:rPr>
          <w:rFonts w:ascii="FreeSans" w:hAnsi="FreeSans"/>
          <w:color w:val="000000"/>
          <w:shd w:fill="FFFFFF" w:val="clear"/>
        </w:rPr>
        <w:t>(Spencer and Ritchie, 2002)</w:t>
      </w:r>
      <w:r>
        <w:rPr>
          <w:rFonts w:ascii="FreeSans" w:hAnsi="FreeSans"/>
        </w:rPr>
        <w:t xml:space="preserve">. </w:t>
      </w:r>
      <w:r>
        <w:rPr>
          <w:rFonts w:ascii="FreeSans" w:hAnsi="FreeSans"/>
          <w:color w:val="262626"/>
        </w:rPr>
        <w:t xml:space="preserve">It can be used as independent research strategy to explore social diversity and understand policy issues regarding complex behaviours, needs, systems and cultures. </w:t>
      </w:r>
      <w:r>
        <w:rPr>
          <w:rFonts w:ascii="FreeSans" w:hAnsi="FreeSans"/>
        </w:rPr>
        <w:t>Bardach (2009) asserts that qualitative research using blended approach of document analysis and interview can produce depth in policy analysis. Alongside, qualitative method can be helpful for policy makers as it reveals the view and experiences of affected people (Walker, 1985, p.</w:t>
      </w:r>
      <w:r>
        <w:rPr>
          <w:rFonts w:ascii="FreeSans" w:hAnsi="FreeSans"/>
          <w:spacing w:val="-20"/>
        </w:rPr>
        <w:t xml:space="preserve"> </w:t>
      </w:r>
      <w:r>
        <w:rPr>
          <w:rFonts w:ascii="FreeSans" w:hAnsi="FreeSans"/>
        </w:rPr>
        <w:t xml:space="preserve">19). </w:t>
      </w:r>
    </w:p>
    <w:p>
      <w:pPr>
        <w:pStyle w:val="Heading2"/>
        <w:numPr>
          <w:ilvl w:val="1"/>
          <w:numId w:val="2"/>
        </w:numPr>
        <w:spacing w:before="371" w:after="291"/>
        <w:rPr/>
      </w:pPr>
      <w:r>
        <w:rPr/>
        <w:t>Data Collection Method</w:t>
      </w:r>
    </w:p>
    <w:p>
      <w:pPr>
        <w:pStyle w:val="NormalWeb"/>
        <w:spacing w:lineRule="auto" w:line="360" w:beforeAutospacing="0" w:before="114" w:after="394"/>
        <w:jc w:val="both"/>
        <w:rPr>
          <w:rFonts w:ascii="FreeSans" w:hAnsi="FreeSans"/>
        </w:rPr>
      </w:pPr>
      <w:r>
        <w:rPr>
          <w:rFonts w:ascii="FreeSans" w:hAnsi="FreeSans"/>
        </w:rPr>
        <w:t>Semi-structured interview using open-ended questions has been conducted as the key data collection tool for this research project. In this format, interviewer is most likely to extract in depth information from the respondents by using open-ended question (</w:t>
      </w:r>
      <w:r>
        <w:rPr>
          <w:rFonts w:ascii="FreeSans" w:hAnsi="FreeSans"/>
          <w:color w:val="222222"/>
          <w:shd w:fill="FFFFFF" w:val="clear"/>
        </w:rPr>
        <w:t>Turner III, 2010)</w:t>
      </w:r>
      <w:r>
        <w:rPr>
          <w:rFonts w:ascii="FreeSans" w:hAnsi="FreeSans"/>
        </w:rPr>
        <w:t xml:space="preserve">. In addition to that, open-ended interview allows the researcher to ask probing question for further clarification or in depth understanding. In this regard, </w:t>
      </w:r>
      <w:r>
        <w:rPr>
          <w:rFonts w:ascii="FreeSans" w:hAnsi="FreeSans"/>
          <w:color w:val="222222"/>
          <w:shd w:fill="FFFFFF" w:val="clear"/>
        </w:rPr>
        <w:t xml:space="preserve">Creswell, Hanson, Clark Plano. and Morales </w:t>
      </w:r>
      <w:r>
        <w:rPr>
          <w:rFonts w:ascii="FreeSans" w:hAnsi="FreeSans"/>
        </w:rPr>
        <w:t>(2007) assert that to acquire  optimal data from the respondents it is important to be flexible in preparing questions. The information from the interview might seem subjective as individual opinion is reflected however, as the research is about the impact of contemporary issue it can be considered that information is relevant and fresh.</w:t>
      </w:r>
    </w:p>
    <w:p>
      <w:pPr>
        <w:pStyle w:val="Heading2"/>
        <w:numPr>
          <w:ilvl w:val="1"/>
          <w:numId w:val="2"/>
        </w:numPr>
        <w:rPr>
          <w:b/>
          <w:b/>
          <w:bCs/>
          <w:i/>
          <w:i/>
          <w:iCs/>
        </w:rPr>
      </w:pPr>
      <w:r>
        <w:rPr/>
        <w:t>International postgraduate students as population</w:t>
      </w:r>
    </w:p>
    <w:p>
      <w:pPr>
        <w:pStyle w:val="NormalWeb"/>
        <w:spacing w:lineRule="auto" w:line="360"/>
        <w:jc w:val="both"/>
        <w:rPr>
          <w:rFonts w:ascii="FreeSans" w:hAnsi="FreeSans"/>
        </w:rPr>
      </w:pPr>
      <w:r>
        <w:rPr>
          <w:rFonts w:ascii="FreeSans" w:hAnsi="FreeSans"/>
        </w:rPr>
        <w:t>According to AQF the volume of learning of a Master’s Degree (Coursework) is typically 1 – 2 year/s; in the same discipline 1.5 years following a level 7 qualification or 1 year following a level 8 qualification; in a different discipline 2 years following a level 7 qualification or 1.5 years following a level 8 qualification. For example, University of Newcastle (2015) report states that due to a significant decrease in 2015 enrolments for the course of Master of Social Change and Development (MSCD), the Faculty of Education and Arts (FEDUA) and the School of Humanities and Social Science (HASS) in cooperation with central marketing, Graduate school and International Admissions have benchmarked postgraduate education, leadership and social change and development across the sector. It has particular emphasis on program length, number of courses, and quality of program content and teaching to ensure competitiveness in an increasingly challenging postgraduate market, while maintaining the program’s academic integrity and Australian Qualifications Framework (AQF) compliance. The Graduate Certificate of Social Change and Development (GCSCD) can be completed as a pathway to the current version of 160 units, and proposed new version of comprising 120 units for the MSCD. Students who accepted offer in 2014 and enrolled in the program had to go through different system. Previously, students from different academic background got admission in MSCD. Although some students had professional experience they had to complete GSCD as a pathway to Master’s Program. After introducing same students were given two options either accept the new offer with 40 units advance standing (which has not been considered before) or to enroll in the two-year program according to non-cognate (who had previous degree in Engineering, Philosophy, Industrial Design) category of AQF. In contrast, students under scholarship had to go through the old system of one-year masters to comply with their scholarship condition although the AQF states that for same discipline the length of the program will be 1.5 years. Similar things happen with students from other departments as well. Therefore, the objective of AQF and the concerns around that are not clear to international students and there are mixed perceptions about this change. Furthermore, international students are experiencing more or less financial and psychological hardship while they come to Australia (Jepson, Turner &amp; Calway, 2002). Research result in Monash University showed that 70% of students face financial hardship during their stay in Australia (p. 3), (Deumert, Marginson, Nyland, Ramia &amp; Sawir, 2005). Due to cultural orientation international students are reluctant to seek for support from universities that reduces their capacity to deal with stress (Khawaja, N. G and Dempsey, 2008).  Under this circumstances financial concerns that involves increasing tuition fees and living expenses have been identified as greatest source of psychological stress. As a result, international students are considered as the key population group for conducting this research project. As per the University of Newcastle data  8000 international students have enrolled in postgraduate level from 80 different countries in last five years (The University of Newcastle, 2018) So the estimated population size for this research is 1500 postgraduate international students.</w:t>
      </w:r>
    </w:p>
    <w:p>
      <w:pPr>
        <w:pStyle w:val="NormalWeb"/>
        <w:spacing w:lineRule="auto" w:line="360"/>
        <w:jc w:val="both"/>
        <w:rPr>
          <w:color w:val="FF0000"/>
        </w:rPr>
      </w:pPr>
      <w:r>
        <w:rPr>
          <w:rFonts w:ascii="FreeSans" w:hAnsi="FreeSans"/>
          <w:color w:val="FF0000"/>
        </w:rPr>
        <w:t xml:space="preserve"> </w:t>
      </w:r>
    </w:p>
    <w:p>
      <w:pPr>
        <w:pStyle w:val="Heading2"/>
        <w:numPr>
          <w:ilvl w:val="1"/>
          <w:numId w:val="2"/>
        </w:numPr>
        <w:rPr>
          <w:b/>
          <w:b/>
          <w:bCs/>
          <w:i/>
          <w:i/>
          <w:iCs/>
          <w:color w:val="000000" w:themeColor="text1"/>
        </w:rPr>
      </w:pPr>
      <w:r>
        <w:rPr/>
        <w:t>Sampling</w:t>
      </w:r>
    </w:p>
    <w:p>
      <w:pPr>
        <w:pStyle w:val="NormalWeb"/>
        <w:spacing w:lineRule="auto" w:line="360"/>
        <w:jc w:val="both"/>
        <w:rPr>
          <w:rFonts w:ascii="FreeSans" w:hAnsi="FreeSans"/>
        </w:rPr>
      </w:pPr>
      <w:r>
        <w:rPr>
          <w:rFonts w:ascii="FreeSans" w:hAnsi="FreeSans"/>
        </w:rPr>
        <w:t>In this research project, convenience sampling technique has been adopted to select participants for face-to-face interview. This sampling technique is an effective approach where the population size is big and will be time consuming to conduct randomized sampling (</w:t>
      </w:r>
      <w:r>
        <w:rPr>
          <w:rFonts w:ascii="FreeSans" w:hAnsi="FreeSans"/>
          <w:color w:val="000000"/>
          <w:shd w:fill="FFFFFF" w:val="clear"/>
        </w:rPr>
        <w:t>Etikan et al. 2016</w:t>
      </w:r>
      <w:r>
        <w:rPr>
          <w:rFonts w:ascii="FreeSans" w:hAnsi="FreeSans"/>
        </w:rPr>
        <w:t>). Most importantly, there is no cap on population size to conduct this kind of non-probability sampling as the focus remains on obtaining quality information (Bernard, 2002). Seidler (1974) found that five informants can be enough for providing reliable data. For this research project six people have been interviewed as respondents. The criterion of the sample for this study is to recruit international students who have experienced changes of any kind in their study plan and have knowledge to explain the situation. In addition to that, those postgraduate students have already completed couple of semesters as this change happened in the middle of the year. As a result, it has an impact on their (students) financial capability and planning for further stay in Australia. Another criterion was to include someone from University staff who had the responsibility to deal with AQF issue. Moreover, all the respondents were from same campus and were available in the given time of the researcher that was convenient considering time and resources available for this research (</w:t>
      </w:r>
      <w:r>
        <w:rPr>
          <w:rFonts w:ascii="FreeSans" w:hAnsi="FreeSans"/>
          <w:color w:val="000000"/>
          <w:shd w:fill="FFFFFF" w:val="clear"/>
        </w:rPr>
        <w:t>Etikan et al. 2016</w:t>
      </w:r>
      <w:r>
        <w:rPr>
          <w:rFonts w:ascii="FreeSans" w:hAnsi="FreeSans"/>
        </w:rPr>
        <w:t>). To complete the whole research project 13 weeks were allocated and there was no funding for this as it was part of the 20-unit research project. For this study four international postgraduate students (one girl and three boys) and two international officials from the University of Newcastle were interviewed. As well-being of international students was a key focus that’s why students from different geographic and cultural background were chosen. The postgraduate students were from Fiji, Papua New Guinea, Nigeria</w:t>
      </w:r>
      <w:bookmarkStart w:id="0" w:name="_GoBack"/>
      <w:bookmarkEnd w:id="0"/>
      <w:r>
        <w:rPr>
          <w:rFonts w:ascii="FreeSans" w:hAnsi="FreeSans"/>
        </w:rPr>
        <w:t xml:space="preserve"> and from two different disciplines which are Sociology and  Information Technology. Among them three students were on scholarship and one was on self-financed. Although initial plan was to interview program convener or course coordinator, the idea of interviewing an International office staff came from the international students as all of them got a revised offer letter from international office and tried to communicate with them for further clarification or considered international office as the first point of contact. Only two international staffs were interviewed because after introducing the policy they were dealing with the concerns around AQF related issues.</w:t>
      </w:r>
    </w:p>
    <w:p>
      <w:pPr>
        <w:pStyle w:val="NormalWeb"/>
        <w:spacing w:lineRule="auto" w:line="360" w:beforeAutospacing="0" w:before="0" w:afterAutospacing="0" w:after="0"/>
        <w:jc w:val="both"/>
        <w:rPr>
          <w:rFonts w:ascii="FreeSans" w:hAnsi="FreeSans"/>
          <w:color w:val="000000"/>
        </w:rPr>
      </w:pPr>
      <w:r>
        <w:rPr>
          <w:rFonts w:ascii="FreeSans" w:hAnsi="FreeSans"/>
          <w:color w:val="000000"/>
        </w:rPr>
      </w:r>
    </w:p>
    <w:p>
      <w:pPr>
        <w:pStyle w:val="NormalWeb"/>
        <w:spacing w:lineRule="auto" w:line="360" w:beforeAutospacing="0" w:before="0" w:afterAutospacing="0" w:after="0"/>
        <w:jc w:val="both"/>
        <w:rPr>
          <w:rFonts w:ascii="FreeSans" w:hAnsi="FreeSans"/>
          <w:color w:val="000000"/>
        </w:rPr>
      </w:pPr>
      <w:r>
        <w:rPr>
          <w:rFonts w:ascii="FreeSans" w:hAnsi="FreeSans"/>
          <w:color w:val="000000"/>
        </w:rPr>
      </w:r>
    </w:p>
    <w:p>
      <w:pPr>
        <w:pStyle w:val="Heading2"/>
        <w:numPr>
          <w:ilvl w:val="1"/>
          <w:numId w:val="2"/>
        </w:numPr>
        <w:spacing w:before="371" w:after="291"/>
        <w:rPr>
          <w:b/>
          <w:b/>
          <w:bCs/>
          <w:color w:val="000000"/>
        </w:rPr>
      </w:pPr>
      <w:r>
        <w:rPr/>
        <w:t>Conducting Interview</w:t>
      </w:r>
    </w:p>
    <w:p>
      <w:pPr>
        <w:pStyle w:val="NormalWeb"/>
        <w:spacing w:lineRule="auto" w:line="360" w:beforeAutospacing="0" w:before="0" w:afterAutospacing="0" w:after="120"/>
        <w:jc w:val="both"/>
        <w:rPr>
          <w:lang w:bidi="ar-SA"/>
        </w:rPr>
      </w:pPr>
      <w:r>
        <w:rPr>
          <w:rFonts w:ascii="FreeSans" w:hAnsi="FreeSans"/>
        </w:rPr>
        <w:t xml:space="preserve">To ensure the participation and understand the social, financial and psychological status of the students the researcher have contacted all the participants individually and asked for their preferred time and places for interview. The interview question was tested on one student to get some idea about the time and facilities required to take the interview. Flexibility on timeline was given to inspire everyone for face-to-face interview to ensure uninterrupted flow of information and understand the psychological status. To obtain information related to wellbeing every individual was interviewed  separately to ensure confidentiality and authenticity. One observer was involved with consent of the participants. Moreover,  interviews were taken in English in informal setting </w:t>
      </w:r>
      <w:r>
        <w:rPr>
          <w:rFonts w:ascii="FreeSans" w:hAnsi="FreeSans"/>
          <w:color w:val="000000"/>
        </w:rPr>
        <w:t>for example at the library or classroom. The documents that were brought by students are authentic evidence of changes.</w:t>
      </w:r>
      <w:r>
        <w:rPr>
          <w:rFonts w:ascii="FreeSans" w:hAnsi="FreeSans"/>
        </w:rPr>
        <w:t xml:space="preserve"> Interviews were recorded in audio file with consent and ensured that they will remain anonymous</w:t>
      </w:r>
    </w:p>
    <w:p>
      <w:pPr>
        <w:pStyle w:val="Heading2"/>
        <w:numPr>
          <w:ilvl w:val="1"/>
          <w:numId w:val="2"/>
        </w:numPr>
        <w:spacing w:before="371" w:after="291"/>
        <w:rPr/>
      </w:pPr>
      <w:r>
        <w:rPr/>
        <w:t>Analysing Data</w:t>
      </w:r>
    </w:p>
    <w:p>
      <w:pPr>
        <w:pStyle w:val="Normal"/>
        <w:spacing w:lineRule="auto" w:line="360"/>
        <w:rPr>
          <w:rFonts w:ascii="FreeSans" w:hAnsi="FreeSans"/>
        </w:rPr>
      </w:pPr>
      <w:r>
        <w:rPr>
          <w:rFonts w:ascii="FreeSans" w:hAnsi="FreeSans"/>
        </w:rPr>
        <w:t xml:space="preserve">This section presents data collection process from the respondents and attempts to interpret the same. </w:t>
      </w:r>
      <w:r>
        <w:rPr>
          <w:rFonts w:ascii="FreeSans" w:hAnsi="FreeSans"/>
          <w:color w:val="222222"/>
          <w:shd w:fill="FFFFFF" w:val="clear"/>
        </w:rPr>
        <w:t>Elo and Kyngäs (2008) said that organising data, coding and interpretation are key areas to analyse qualitative data.</w:t>
      </w:r>
      <w:r>
        <w:rPr>
          <w:rFonts w:ascii="FreeSans" w:hAnsi="FreeSans"/>
        </w:rPr>
        <w:t xml:space="preserve"> </w:t>
      </w:r>
    </w:p>
    <w:p>
      <w:pPr>
        <w:pStyle w:val="Heading2"/>
        <w:numPr>
          <w:ilvl w:val="1"/>
          <w:numId w:val="2"/>
        </w:numPr>
        <w:spacing w:before="371" w:after="291"/>
        <w:rPr/>
      </w:pPr>
      <w:r>
        <w:rPr/>
        <w:t>Organizing the data</w:t>
      </w:r>
    </w:p>
    <w:p>
      <w:pPr>
        <w:pStyle w:val="Normal"/>
        <w:spacing w:lineRule="auto" w:line="360"/>
        <w:jc w:val="both"/>
        <w:rPr>
          <w:rFonts w:ascii="FreeSans" w:hAnsi="FreeSans"/>
        </w:rPr>
      </w:pPr>
      <w:r>
        <w:rPr>
          <w:rFonts w:ascii="FreeSans" w:hAnsi="FreeSans"/>
        </w:rPr>
        <w:t xml:space="preserve">This study followed interview method to collect data. The analysis part of the collected data started with organizing and managing them that include creating a standard file-naming system with collection method (interview) and date. Then, all the interviews were transcribed into text for transforming raw data into useful information and making sense of data. Keeping in mind that transcribing qualitative data (interview) is time consuming this study scheduled to do it as soon as the data collector (researcher himself in this case) finished to collect data. </w:t>
      </w:r>
    </w:p>
    <w:p>
      <w:pPr>
        <w:pStyle w:val="Heading2"/>
        <w:numPr>
          <w:ilvl w:val="1"/>
          <w:numId w:val="2"/>
        </w:numPr>
        <w:spacing w:before="371" w:after="291"/>
        <w:rPr/>
      </w:pPr>
      <w:r>
        <w:rPr/>
        <w:t>Description/coding</w:t>
      </w:r>
    </w:p>
    <w:p>
      <w:pPr>
        <w:pStyle w:val="Normal"/>
        <w:spacing w:lineRule="auto" w:line="360"/>
        <w:rPr>
          <w:rFonts w:ascii="FreeSans" w:hAnsi="FreeSans"/>
        </w:rPr>
      </w:pPr>
      <w:r>
        <w:rPr>
          <w:rFonts w:ascii="FreeSans" w:hAnsi="FreeSans"/>
        </w:rPr>
        <w:t xml:space="preserve">This step of data analysis typically involves categorizing and coding relevant data to discover periodic themes and revising transcribed data with the collected raw data (Coffey &amp; Atkinson, 1996). The objective of coding data is to identify recurring themes that results the commencement of systematic data analysis. The data sets of this study followed a matrix (Table 2) of research questions, interview questions, responses from the respondents and developing themes based on the research and interview questions. Once coding has been completed, the following step was to resettlement distinct data by manually copying and pasting it into a word processing document. Then by entering the key issue of an interview question identification of themes for making sense of data has been started in order to correspond information from each result. </w:t>
      </w:r>
    </w:p>
    <w:p>
      <w:pPr>
        <w:pStyle w:val="Normal"/>
        <w:spacing w:lineRule="auto" w:line="360"/>
        <w:rPr>
          <w:rFonts w:ascii="FreeSans" w:hAnsi="FreeSans"/>
          <w:b/>
          <w:b/>
          <w:bCs/>
        </w:rPr>
      </w:pPr>
      <w:r>
        <w:rPr>
          <w:rFonts w:ascii="FreeSans" w:hAnsi="FreeSans"/>
          <w:b/>
          <w:bCs/>
        </w:rPr>
      </w:r>
    </w:p>
    <w:p>
      <w:pPr>
        <w:pStyle w:val="Normal"/>
        <w:spacing w:lineRule="auto" w:line="360"/>
        <w:jc w:val="both"/>
        <w:rPr>
          <w:b/>
          <w:b/>
        </w:rPr>
      </w:pPr>
      <w:r>
        <w:rPr>
          <w:rFonts w:ascii="FreeSans" w:hAnsi="FreeSans"/>
          <w:b/>
        </w:rPr>
        <w:t>Table 2: Example of coding and interpreting</w:t>
      </w:r>
    </w:p>
    <w:p>
      <w:pPr>
        <w:pStyle w:val="Normal"/>
        <w:spacing w:lineRule="auto" w:line="360"/>
        <w:jc w:val="both"/>
        <w:rPr>
          <w:rFonts w:ascii="FreeSans" w:hAnsi="FreeSans"/>
        </w:rPr>
      </w:pPr>
      <w:r>
        <w:rPr>
          <w:rFonts w:ascii="FreeSans" w:hAnsi="FreeSans"/>
        </w:rPr>
      </w:r>
    </w:p>
    <w:tbl>
      <w:tblPr>
        <w:tblStyle w:val="TableGrid"/>
        <w:tblW w:w="9011" w:type="dxa"/>
        <w:jc w:val="center"/>
        <w:tblInd w:w="0" w:type="dxa"/>
        <w:tblCellMar>
          <w:top w:w="0" w:type="dxa"/>
          <w:left w:w="108" w:type="dxa"/>
          <w:bottom w:w="0" w:type="dxa"/>
          <w:right w:w="108" w:type="dxa"/>
        </w:tblCellMar>
        <w:tblLook w:noVBand="1" w:val="04a0" w:noHBand="0" w:lastColumn="0" w:firstColumn="1" w:lastRow="0" w:firstRow="1"/>
      </w:tblPr>
      <w:tblGrid>
        <w:gridCol w:w="1802"/>
        <w:gridCol w:w="1802"/>
        <w:gridCol w:w="1802"/>
        <w:gridCol w:w="1802"/>
        <w:gridCol w:w="1803"/>
      </w:tblGrid>
      <w:tr>
        <w:trPr/>
        <w:tc>
          <w:tcPr>
            <w:tcW w:w="1802" w:type="dxa"/>
            <w:tcBorders/>
            <w:shd w:fill="auto" w:val="clear"/>
          </w:tcPr>
          <w:p>
            <w:pPr>
              <w:pStyle w:val="Normal"/>
              <w:spacing w:lineRule="auto" w:line="240"/>
              <w:jc w:val="center"/>
              <w:rPr>
                <w:b/>
                <w:b/>
              </w:rPr>
            </w:pPr>
            <w:r>
              <w:rPr>
                <w:rFonts w:ascii="FreeSans" w:hAnsi="FreeSans"/>
                <w:b/>
              </w:rPr>
              <w:t>Research Question</w:t>
            </w:r>
          </w:p>
        </w:tc>
        <w:tc>
          <w:tcPr>
            <w:tcW w:w="1802" w:type="dxa"/>
            <w:tcBorders/>
            <w:shd w:fill="auto" w:val="clear"/>
          </w:tcPr>
          <w:p>
            <w:pPr>
              <w:pStyle w:val="Normal"/>
              <w:spacing w:lineRule="auto" w:line="240"/>
              <w:jc w:val="center"/>
              <w:rPr>
                <w:b/>
                <w:b/>
              </w:rPr>
            </w:pPr>
            <w:r>
              <w:rPr>
                <w:rFonts w:ascii="FreeSans" w:hAnsi="FreeSans"/>
                <w:b/>
              </w:rPr>
              <w:t>Interview</w:t>
            </w:r>
          </w:p>
          <w:p>
            <w:pPr>
              <w:pStyle w:val="Normal"/>
              <w:spacing w:lineRule="auto" w:line="240"/>
              <w:jc w:val="center"/>
              <w:rPr>
                <w:b/>
                <w:b/>
              </w:rPr>
            </w:pPr>
            <w:r>
              <w:rPr>
                <w:rFonts w:ascii="FreeSans" w:hAnsi="FreeSans"/>
                <w:b/>
              </w:rPr>
              <w:t>Question</w:t>
            </w:r>
          </w:p>
        </w:tc>
        <w:tc>
          <w:tcPr>
            <w:tcW w:w="1802" w:type="dxa"/>
            <w:tcBorders/>
            <w:shd w:fill="auto" w:val="clear"/>
          </w:tcPr>
          <w:p>
            <w:pPr>
              <w:pStyle w:val="Normal"/>
              <w:spacing w:lineRule="auto" w:line="240"/>
              <w:jc w:val="center"/>
              <w:rPr>
                <w:b/>
                <w:b/>
              </w:rPr>
            </w:pPr>
            <w:r>
              <w:rPr>
                <w:rFonts w:ascii="FreeSans" w:hAnsi="FreeSans"/>
                <w:b/>
              </w:rPr>
              <w:t>Response from</w:t>
            </w:r>
          </w:p>
          <w:p>
            <w:pPr>
              <w:pStyle w:val="Normal"/>
              <w:spacing w:lineRule="auto" w:line="240"/>
              <w:jc w:val="center"/>
              <w:rPr>
                <w:b/>
                <w:b/>
              </w:rPr>
            </w:pPr>
            <w:r>
              <w:rPr>
                <w:rFonts w:ascii="FreeSans" w:hAnsi="FreeSans"/>
                <w:b/>
              </w:rPr>
              <w:t>Students</w:t>
            </w:r>
          </w:p>
        </w:tc>
        <w:tc>
          <w:tcPr>
            <w:tcW w:w="1802" w:type="dxa"/>
            <w:tcBorders/>
            <w:shd w:fill="auto" w:val="clear"/>
          </w:tcPr>
          <w:p>
            <w:pPr>
              <w:pStyle w:val="Normal"/>
              <w:spacing w:lineRule="auto" w:line="240"/>
              <w:jc w:val="center"/>
              <w:rPr>
                <w:b/>
                <w:b/>
              </w:rPr>
            </w:pPr>
            <w:r>
              <w:rPr>
                <w:rFonts w:ascii="FreeSans" w:hAnsi="FreeSans"/>
                <w:b/>
              </w:rPr>
              <w:t>Response from</w:t>
            </w:r>
          </w:p>
          <w:p>
            <w:pPr>
              <w:pStyle w:val="Normal"/>
              <w:spacing w:lineRule="auto" w:line="240"/>
              <w:jc w:val="center"/>
              <w:rPr>
                <w:b/>
                <w:b/>
              </w:rPr>
            </w:pPr>
            <w:r>
              <w:rPr>
                <w:rFonts w:ascii="FreeSans" w:hAnsi="FreeSans"/>
                <w:b/>
              </w:rPr>
              <w:t>International</w:t>
            </w:r>
          </w:p>
          <w:p>
            <w:pPr>
              <w:pStyle w:val="Normal"/>
              <w:spacing w:lineRule="auto" w:line="240"/>
              <w:jc w:val="center"/>
              <w:rPr>
                <w:b/>
                <w:b/>
              </w:rPr>
            </w:pPr>
            <w:r>
              <w:rPr>
                <w:rFonts w:ascii="FreeSans" w:hAnsi="FreeSans"/>
                <w:b/>
              </w:rPr>
              <w:t>staff</w:t>
            </w:r>
          </w:p>
        </w:tc>
        <w:tc>
          <w:tcPr>
            <w:tcW w:w="1803" w:type="dxa"/>
            <w:tcBorders/>
            <w:shd w:fill="auto" w:val="clear"/>
          </w:tcPr>
          <w:p>
            <w:pPr>
              <w:pStyle w:val="Normal"/>
              <w:spacing w:lineRule="auto" w:line="240"/>
              <w:jc w:val="center"/>
              <w:rPr>
                <w:b/>
                <w:b/>
              </w:rPr>
            </w:pPr>
            <w:r>
              <w:rPr>
                <w:rFonts w:ascii="FreeSans" w:hAnsi="FreeSans"/>
                <w:b/>
              </w:rPr>
              <w:t>Theme</w:t>
            </w:r>
          </w:p>
        </w:tc>
      </w:tr>
      <w:tr>
        <w:trPr/>
        <w:tc>
          <w:tcPr>
            <w:tcW w:w="1802" w:type="dxa"/>
            <w:tcBorders/>
            <w:shd w:fill="auto" w:val="clear"/>
          </w:tcPr>
          <w:p>
            <w:pPr>
              <w:pStyle w:val="Normal"/>
              <w:spacing w:lineRule="auto" w:line="240"/>
              <w:jc w:val="center"/>
              <w:rPr>
                <w:rFonts w:ascii="FreeSans" w:hAnsi="FreeSans"/>
              </w:rPr>
            </w:pPr>
            <w:r>
              <w:rPr>
                <w:rFonts w:ascii="FreeSans" w:hAnsi="FreeSans"/>
              </w:rPr>
              <w:t>How do overseas students and academic staffs perceive AQF?</w:t>
            </w:r>
          </w:p>
        </w:tc>
        <w:tc>
          <w:tcPr>
            <w:tcW w:w="1802" w:type="dxa"/>
            <w:tcBorders/>
            <w:shd w:fill="auto" w:val="clear"/>
          </w:tcPr>
          <w:p>
            <w:pPr>
              <w:pStyle w:val="Normal"/>
              <w:spacing w:lineRule="auto" w:line="240" w:before="0" w:afterAutospacing="1"/>
              <w:jc w:val="center"/>
              <w:rPr>
                <w:rFonts w:eastAsia="Calibri"/>
                <w:color w:val="000000"/>
              </w:rPr>
            </w:pPr>
            <w:r>
              <w:rPr>
                <w:rFonts w:eastAsia="Calibri" w:ascii="FreeSans" w:hAnsi="FreeSans"/>
                <w:color w:val="000000"/>
              </w:rPr>
              <w:t>What is AQF?</w:t>
            </w:r>
          </w:p>
          <w:p>
            <w:pPr>
              <w:pStyle w:val="Normal"/>
              <w:spacing w:lineRule="auto" w:line="240" w:before="0" w:afterAutospacing="1"/>
              <w:jc w:val="center"/>
              <w:rPr>
                <w:rFonts w:eastAsia="Calibri"/>
                <w:color w:val="000000"/>
              </w:rPr>
            </w:pPr>
            <w:r>
              <w:rPr>
                <w:rFonts w:eastAsia="Calibri" w:ascii="FreeSans" w:hAnsi="FreeSans"/>
                <w:color w:val="000000"/>
              </w:rPr>
              <w:t>What are the changes that have been introduced at postgraduate level due to AQF?</w:t>
            </w:r>
          </w:p>
        </w:tc>
        <w:tc>
          <w:tcPr>
            <w:tcW w:w="1802" w:type="dxa"/>
            <w:tcBorders/>
            <w:shd w:fill="auto" w:val="clear"/>
          </w:tcPr>
          <w:p>
            <w:pPr>
              <w:pStyle w:val="Normal"/>
              <w:spacing w:lineRule="auto" w:line="240"/>
              <w:jc w:val="center"/>
              <w:rPr>
                <w:rFonts w:ascii="FreeSans" w:hAnsi="FreeSans"/>
              </w:rPr>
            </w:pPr>
            <w:r>
              <w:rPr>
                <w:rFonts w:ascii="FreeSans" w:hAnsi="FreeSans"/>
              </w:rPr>
              <w:t>*Change in program duration</w:t>
            </w:r>
          </w:p>
          <w:p>
            <w:pPr>
              <w:pStyle w:val="Normal"/>
              <w:spacing w:lineRule="auto" w:line="240"/>
              <w:jc w:val="center"/>
              <w:rPr>
                <w:rFonts w:ascii="FreeSans" w:hAnsi="FreeSans"/>
              </w:rPr>
            </w:pPr>
            <w:r>
              <w:rPr>
                <w:rFonts w:ascii="FreeSans" w:hAnsi="FreeSans"/>
              </w:rPr>
            </w:r>
          </w:p>
          <w:p>
            <w:pPr>
              <w:pStyle w:val="Normal"/>
              <w:spacing w:lineRule="auto" w:line="240"/>
              <w:jc w:val="center"/>
              <w:rPr>
                <w:rFonts w:ascii="FreeSans" w:hAnsi="FreeSans"/>
              </w:rPr>
            </w:pPr>
            <w:r>
              <w:rPr>
                <w:rFonts w:ascii="FreeSans" w:hAnsi="FreeSans"/>
              </w:rPr>
              <w:t>*New courses under the specialization</w:t>
            </w:r>
          </w:p>
        </w:tc>
        <w:tc>
          <w:tcPr>
            <w:tcW w:w="1802" w:type="dxa"/>
            <w:tcBorders/>
            <w:shd w:fill="auto" w:val="clear"/>
          </w:tcPr>
          <w:p>
            <w:pPr>
              <w:pStyle w:val="Normal"/>
              <w:spacing w:lineRule="auto" w:line="240"/>
              <w:jc w:val="center"/>
              <w:rPr>
                <w:rFonts w:ascii="FreeSans" w:hAnsi="FreeSans"/>
              </w:rPr>
            </w:pPr>
            <w:r>
              <w:rPr>
                <w:rFonts w:ascii="FreeSans" w:hAnsi="FreeSans"/>
              </w:rPr>
              <w:t>* Material change that includes change of program name, cricos code,</w:t>
            </w:r>
          </w:p>
          <w:p>
            <w:pPr>
              <w:pStyle w:val="Normal"/>
              <w:spacing w:lineRule="auto" w:line="240"/>
              <w:jc w:val="center"/>
              <w:rPr>
                <w:rFonts w:ascii="FreeSans" w:hAnsi="FreeSans"/>
              </w:rPr>
            </w:pPr>
            <w:r>
              <w:rPr>
                <w:rFonts w:ascii="FreeSans" w:hAnsi="FreeSans"/>
              </w:rPr>
            </w:r>
          </w:p>
          <w:p>
            <w:pPr>
              <w:pStyle w:val="Normal"/>
              <w:spacing w:lineRule="auto" w:line="240"/>
              <w:jc w:val="center"/>
              <w:rPr>
                <w:rFonts w:ascii="FreeSans" w:hAnsi="FreeSans"/>
              </w:rPr>
            </w:pPr>
            <w:r>
              <w:rPr>
                <w:rFonts w:ascii="FreeSans" w:hAnsi="FreeSans"/>
              </w:rPr>
              <w:t>*Change in duration of learning</w:t>
            </w:r>
          </w:p>
        </w:tc>
        <w:tc>
          <w:tcPr>
            <w:tcW w:w="1803" w:type="dxa"/>
            <w:tcBorders/>
            <w:shd w:fill="auto" w:val="clear"/>
          </w:tcPr>
          <w:p>
            <w:pPr>
              <w:pStyle w:val="Normal"/>
              <w:spacing w:lineRule="auto" w:line="240"/>
              <w:jc w:val="center"/>
              <w:rPr>
                <w:rFonts w:ascii="FreeSans" w:hAnsi="FreeSans"/>
              </w:rPr>
            </w:pPr>
            <w:r>
              <w:rPr>
                <w:rFonts w:ascii="FreeSans" w:hAnsi="FreeSans"/>
              </w:rPr>
              <w:t>Level of knowledge</w:t>
            </w:r>
          </w:p>
        </w:tc>
      </w:tr>
    </w:tbl>
    <w:p>
      <w:pPr>
        <w:pStyle w:val="Normal"/>
        <w:spacing w:lineRule="auto" w:line="360"/>
        <w:jc w:val="both"/>
        <w:rPr>
          <w:rFonts w:ascii="FreeSans" w:hAnsi="FreeSans"/>
        </w:rPr>
      </w:pPr>
      <w:r>
        <w:rPr>
          <w:rFonts w:ascii="FreeSans" w:hAnsi="FreeSans"/>
        </w:rPr>
      </w:r>
    </w:p>
    <w:p>
      <w:pPr>
        <w:pStyle w:val="Heading2"/>
        <w:numPr>
          <w:ilvl w:val="1"/>
          <w:numId w:val="2"/>
        </w:numPr>
        <w:spacing w:before="371" w:after="291"/>
        <w:rPr/>
      </w:pPr>
      <w:r>
        <w:rPr/>
        <w:t>Interpretation</w:t>
      </w:r>
    </w:p>
    <w:p>
      <w:pPr>
        <w:pStyle w:val="Normal"/>
        <w:spacing w:lineRule="auto" w:line="360"/>
        <w:jc w:val="both"/>
        <w:rPr>
          <w:rFonts w:ascii="FreeSans" w:hAnsi="FreeSans"/>
        </w:rPr>
      </w:pPr>
      <w:r>
        <w:rPr>
          <w:rFonts w:ascii="FreeSans" w:hAnsi="FreeSans"/>
          <w:bCs/>
        </w:rPr>
        <w:t>This qualitative study follows thematic analysis</w:t>
      </w:r>
      <w:r>
        <w:rPr>
          <w:rFonts w:ascii="FreeSans" w:hAnsi="FreeSans"/>
        </w:rPr>
        <w:t xml:space="preserve"> to interpret the data as well as obtain the results. Themes are considered as an arrangement across data sets that are significant to describe a phenomenon and are related to specific research questions (Boyatzis, 1998). According to this analysis process this section intends to emphasize and pinpoint particular issues from the respondents by interpreting data under three themes; which are level of knowledge both overseas students and official, impact of this changed policy on overseas students and challenges from management perspective. The analysis of the responses under these three themes eventually addresses the research questions of the study. For example, the first theme ‘‘Level of Knowledge” introduces the research question of “How do overseas students and academic staffs perceive AQF?” Similarly, the second theme “Impact of the change” addresses the research question of “How the new system has impacted the overseas students and their family?” and finally, the third theme “Challenges from management perspective” deals with the research question “How did university deal with the students who have been affected due to this change?”</w:t>
      </w:r>
    </w:p>
    <w:p>
      <w:pPr>
        <w:pStyle w:val="Heading2"/>
        <w:numPr>
          <w:ilvl w:val="1"/>
          <w:numId w:val="2"/>
        </w:numPr>
        <w:spacing w:before="371" w:after="291"/>
        <w:rPr/>
      </w:pPr>
      <w:r>
        <w:rPr/>
        <w:t>Validity and Research Bias</w:t>
      </w:r>
    </w:p>
    <w:p>
      <w:pPr>
        <w:pStyle w:val="Normal"/>
        <w:spacing w:lineRule="auto" w:line="360" w:before="171" w:after="171"/>
        <w:jc w:val="both"/>
        <w:rPr>
          <w:color w:val="000000"/>
        </w:rPr>
      </w:pPr>
      <w:r>
        <w:rPr>
          <w:rFonts w:ascii="FreeSans" w:hAnsi="FreeSans"/>
          <w:color w:val="000000"/>
        </w:rPr>
        <w:t xml:space="preserve">Being an international postgraduate student the researcher was touched and driven by the fact of introducing Australian Qualification Framework (AQF) in the middle of his study and experienced changes due to this. As part of reflexivity techniques the researcher has adopted several initiatives to avoid bias and ensure validity. Descriptive validity was ensured through </w:t>
      </w:r>
      <w:r>
        <w:rPr>
          <w:rFonts w:ascii="FreeSans" w:hAnsi="FreeSans"/>
          <w:i/>
          <w:iCs/>
          <w:color w:val="000000"/>
        </w:rPr>
        <w:t xml:space="preserve">investigator triangulation </w:t>
      </w:r>
      <w:r>
        <w:rPr>
          <w:rFonts w:ascii="FreeSans" w:hAnsi="FreeSans"/>
          <w:color w:val="000000"/>
        </w:rPr>
        <w:t>process (</w:t>
      </w:r>
      <w:r>
        <w:rPr>
          <w:rFonts w:ascii="FreeSans" w:hAnsi="FreeSans"/>
          <w:color w:val="222222"/>
          <w:shd w:fill="FFFFFF" w:val="clear"/>
        </w:rPr>
        <w:t xml:space="preserve">Oppermann, 2000). </w:t>
      </w:r>
      <w:r>
        <w:rPr>
          <w:rFonts w:ascii="FreeSans" w:hAnsi="FreeSans"/>
          <w:color w:val="000000"/>
        </w:rPr>
        <w:t>The</w:t>
      </w:r>
      <w:r>
        <w:rPr>
          <w:rFonts w:ascii="FreeSans" w:hAnsi="FreeSans"/>
          <w:color w:val="000000" w:themeColor="text1"/>
        </w:rPr>
        <w:t xml:space="preserve"> </w:t>
      </w:r>
      <w:r>
        <w:rPr>
          <w:rFonts w:ascii="FreeSans" w:hAnsi="FreeSans"/>
          <w:color w:val="000000"/>
        </w:rPr>
        <w:t>researcher has involved another observer with the consent of the participants to whom they were unknown. Later on, both the researcher and the observer shared their views and the issues that were agreed upon have been included for transcribing and coding purpose. After each interview the researcher used to discuss the observations and key information with the respondents and took feedback to ensure actual meaning and experience has been recorded. This process assures the interpretive validity and reduces biasness. Last but not least, as there were no other interviewer or investigator involved and English language was used in the data collection and transcribing chances of data manipulation was negligible.</w:t>
      </w:r>
    </w:p>
    <w:p>
      <w:pPr>
        <w:pStyle w:val="Heading2"/>
        <w:numPr>
          <w:ilvl w:val="1"/>
          <w:numId w:val="2"/>
        </w:numPr>
        <w:spacing w:before="371" w:after="291"/>
        <w:rPr/>
      </w:pPr>
      <w:r>
        <w:rPr/>
        <w:t>Limitation of the study</w:t>
      </w:r>
    </w:p>
    <w:p>
      <w:pPr>
        <w:pStyle w:val="NormalWeb"/>
        <w:spacing w:lineRule="auto" w:line="360" w:before="0" w:after="0"/>
        <w:jc w:val="both"/>
        <w:rPr>
          <w:rFonts w:ascii="FreeSans" w:hAnsi="FreeSans"/>
        </w:rPr>
      </w:pPr>
      <w:r>
        <w:rPr>
          <w:rFonts w:ascii="FreeSans" w:hAnsi="FreeSans"/>
        </w:rPr>
        <w:t>Australian Qualification Framework (AQF) has been implemented in 2015. As AQF is the most recent reform in higher education sector very few literatures are available. This research outcome could have been more supportive to improve the wellbeing of international students if more international students from different universities were recruited to know their experience. Moreover, it was also important to interview some academic staffs for example program conveners, head of departments or dean of students. Other research tool like survey and focus group discussion might generate more data that could have been more informative as well as increase the validity and reliability of data of this research. In comparison to interview, FGD requires a group of people who are comfortable with each other to share their personal views and can interact which was one of the key challenges as the students are from diverse geographic and cultural background and very few of them had prior interaction with each other (Stewart and Shamdasani, 2014).  In addition to that, FGD requires  a comfortable, quiet and well equipped or accessible facilities such as multidirectional microphone, video record facilities etc. to conduct the discussion which was not possible as resource allocation was limited to conduct this research project. Moreover, the transcription and analysis of FGD data is more complex and time consuming than interview (Gill et al., 2008).). Last but not least, time duration that was allocated to conduct the research on such an emerging issue was insufficient.</w:t>
      </w:r>
    </w:p>
    <w:p>
      <w:pPr>
        <w:pStyle w:val="Normal"/>
        <w:spacing w:lineRule="auto" w:line="360"/>
        <w:rPr>
          <w:rFonts w:ascii="FreeSans" w:hAnsi="FreeSans"/>
        </w:rPr>
      </w:pPr>
      <w:r>
        <w:rPr>
          <w:rFonts w:ascii="FreeSans" w:hAnsi="FreeSans"/>
        </w:rPr>
      </w:r>
    </w:p>
    <w:p>
      <w:pPr>
        <w:pStyle w:val="Heading1"/>
        <w:numPr>
          <w:ilvl w:val="0"/>
          <w:numId w:val="2"/>
        </w:numPr>
        <w:rPr>
          <w:b/>
          <w:b/>
          <w:bCs/>
        </w:rPr>
      </w:pPr>
      <w:r>
        <w:rPr/>
        <w:t>Conclusion</w:t>
      </w:r>
    </w:p>
    <w:p>
      <w:pPr>
        <w:pStyle w:val="Normal"/>
        <w:spacing w:lineRule="auto" w:line="360"/>
        <w:rPr>
          <w:rFonts w:ascii="FreeSans" w:hAnsi="FreeSans"/>
        </w:rPr>
      </w:pPr>
      <w:r>
        <w:rPr>
          <w:rFonts w:ascii="FreeSans" w:hAnsi="FreeSans"/>
        </w:rPr>
        <w:t xml:space="preserve">This research was undertaken to identify the inconsistency of information about AQF between international office and postgraduate international students of the University of Newcastle. Another objective was to identify the socio economic impact on international postgraduate students due to AQF. After conducting individual interview using semi-structure open-ended questionnaire it has been found that although there was a probability of policy change, the university authority neither considered it seriously nor organised any prior discussion with postgraduate international students. As a result students had different idea about AQF. Although the course structure has changed, students who were on scholarship had to go through psychological stress as their duration of scholarship remain unchanged. So, they couldn’t take courses that they were interested to. Even though the international office staffs identified this change as an opportunity to meet the standard of the global labour market they were dealing students case by case basis which created misconception about this policy. AQF has been implemented in 2015 as a result very little research has been done on the feasibility of this policy that can be considered as scope of future research. Involving students from multiple institutions can improve the reliability and validity of the research. Survey and focus group discussion can provide more information and could open the opportunity to conduct data triangulation. </w:t>
      </w:r>
    </w:p>
    <w:p>
      <w:pPr>
        <w:pStyle w:val="Normal"/>
        <w:spacing w:lineRule="auto" w:line="360"/>
        <w:rPr>
          <w:rFonts w:ascii="FreeSans" w:hAnsi="FreeSans"/>
        </w:rPr>
      </w:pPr>
      <w:r>
        <w:rPr>
          <w:rFonts w:ascii="FreeSans" w:hAnsi="FreeSans"/>
        </w:rPr>
      </w:r>
    </w:p>
    <w:p>
      <w:pPr>
        <w:pStyle w:val="Normal"/>
        <w:spacing w:lineRule="auto" w:line="360"/>
        <w:rPr>
          <w:rFonts w:ascii="FreeSans" w:hAnsi="FreeSans"/>
        </w:rPr>
      </w:pPr>
      <w:r>
        <w:rPr>
          <w:rFonts w:ascii="FreeSans" w:hAnsi="FreeSans"/>
        </w:rPr>
      </w:r>
    </w:p>
    <w:p>
      <w:pPr>
        <w:pStyle w:val="Normal"/>
        <w:spacing w:lineRule="auto" w:line="360"/>
        <w:rPr>
          <w:rFonts w:ascii="FreeSans" w:hAnsi="FreeSans"/>
        </w:rPr>
      </w:pPr>
      <w:r>
        <w:rPr>
          <w:rFonts w:ascii="FreeSans" w:hAnsi="FreeSans"/>
        </w:rPr>
      </w:r>
    </w:p>
    <w:p>
      <w:pPr>
        <w:pStyle w:val="Heading1"/>
        <w:numPr>
          <w:ilvl w:val="0"/>
          <w:numId w:val="2"/>
        </w:numPr>
        <w:rPr>
          <w:b/>
          <w:b/>
          <w:bCs/>
        </w:rPr>
      </w:pPr>
      <w:r>
        <w:rPr/>
        <w:t>References</w:t>
      </w:r>
    </w:p>
    <w:p>
      <w:pPr>
        <w:pStyle w:val="Normal"/>
        <w:spacing w:lineRule="auto" w:line="360"/>
        <w:rPr/>
      </w:pPr>
      <w:r>
        <w:rPr>
          <w:rFonts w:ascii="FreeSans" w:hAnsi="FreeSans"/>
          <w:color w:val="000000"/>
          <w:shd w:fill="FFFFFF" w:val="clear"/>
        </w:rPr>
        <w:t>Acpet.edu.au. (2013).</w:t>
      </w:r>
      <w:r>
        <w:rPr>
          <w:rStyle w:val="Appleconvertedspace"/>
          <w:rFonts w:ascii="FreeSans" w:hAnsi="FreeSans"/>
          <w:color w:val="000000"/>
          <w:shd w:fill="FFFFFF" w:val="clear"/>
        </w:rPr>
        <w:t> </w:t>
      </w:r>
      <w:r>
        <w:rPr>
          <w:rFonts w:ascii="FreeSans" w:hAnsi="FreeSans"/>
          <w:i/>
          <w:iCs/>
          <w:color w:val="000000"/>
        </w:rPr>
        <w:t>IEAC's Australia - Educating Globally report released | Australian Council for Private Education and Training</w:t>
      </w:r>
      <w:r>
        <w:rPr>
          <w:rFonts w:ascii="FreeSans" w:hAnsi="FreeSans"/>
          <w:color w:val="000000"/>
          <w:shd w:fill="FFFFFF" w:val="clear"/>
        </w:rPr>
        <w:t>. [online] Available at: https://www.acpet.edu.au/article/5421/ieacs-australia-educating-globally-report-released/ [Accessed 18 Oct. 2018].</w:t>
      </w:r>
    </w:p>
    <w:p>
      <w:pPr>
        <w:pStyle w:val="Normal"/>
        <w:spacing w:lineRule="auto" w:line="360"/>
        <w:rPr>
          <w:rFonts w:ascii="FreeSans" w:hAnsi="FreeSans"/>
          <w:color w:val="000000"/>
          <w:highlight w:val="white"/>
        </w:rPr>
      </w:pPr>
      <w:r>
        <w:rPr>
          <w:rFonts w:ascii="FreeSans" w:hAnsi="FreeSans"/>
          <w:color w:val="000000"/>
          <w:highlight w:val="white"/>
        </w:rPr>
      </w:r>
    </w:p>
    <w:p>
      <w:pPr>
        <w:pStyle w:val="Normal"/>
        <w:spacing w:lineRule="auto" w:line="360"/>
        <w:rPr>
          <w:color w:val="000000"/>
          <w:highlight w:val="white"/>
        </w:rPr>
      </w:pPr>
      <w:r>
        <w:rPr>
          <w:rFonts w:ascii="FreeSans" w:hAnsi="FreeSans"/>
          <w:color w:val="000000"/>
          <w:shd w:fill="FFFFFF" w:val="clear"/>
        </w:rPr>
        <w:t>Aqf.edu.au. (2013).</w:t>
      </w:r>
      <w:r>
        <w:rPr>
          <w:rStyle w:val="Appleconvertedspace"/>
          <w:rFonts w:ascii="FreeSans" w:hAnsi="FreeSans"/>
          <w:color w:val="000000"/>
          <w:shd w:fill="FFFFFF" w:val="clear"/>
        </w:rPr>
        <w:t> </w:t>
      </w:r>
      <w:r>
        <w:rPr>
          <w:rFonts w:ascii="FreeSans" w:hAnsi="FreeSans"/>
          <w:i/>
          <w:iCs/>
          <w:color w:val="000000"/>
        </w:rPr>
        <w:t>Australian Qualifications Framework, Australian Government</w:t>
      </w:r>
      <w:r>
        <w:rPr>
          <w:rFonts w:ascii="FreeSans" w:hAnsi="FreeSans"/>
          <w:color w:val="000000"/>
          <w:shd w:fill="FFFFFF" w:val="clear"/>
        </w:rPr>
        <w:t>. [online] Available at: https://www.aqf.edu.au/ [Accessed 18 Oct. 2018].</w:t>
      </w:r>
    </w:p>
    <w:p>
      <w:pPr>
        <w:pStyle w:val="Normal"/>
        <w:spacing w:lineRule="auto" w:line="360"/>
        <w:rPr>
          <w:rFonts w:ascii="FreeSans" w:hAnsi="FreeSans"/>
          <w:color w:val="000000"/>
          <w:highlight w:val="white"/>
        </w:rPr>
      </w:pPr>
      <w:r>
        <w:rPr>
          <w:rFonts w:ascii="FreeSans" w:hAnsi="FreeSans"/>
          <w:color w:val="000000"/>
          <w:highlight w:val="white"/>
        </w:rPr>
      </w:r>
    </w:p>
    <w:p>
      <w:pPr>
        <w:pStyle w:val="Normal"/>
        <w:spacing w:lineRule="auto" w:line="360"/>
        <w:rPr>
          <w:color w:val="222222"/>
          <w:highlight w:val="white"/>
        </w:rPr>
      </w:pPr>
      <w:r>
        <w:rPr>
          <w:rFonts w:ascii="FreeSans" w:hAnsi="FreeSans"/>
          <w:color w:val="222222"/>
          <w:shd w:fill="FFFFFF" w:val="clear"/>
        </w:rPr>
        <w:t>Bardach, E., 2009. Smart (best) practices research: understanding and making use of what look like good ideas from somewhere else.</w:t>
      </w:r>
      <w:r>
        <w:rPr>
          <w:rStyle w:val="Appleconvertedspace"/>
          <w:rFonts w:ascii="FreeSans" w:hAnsi="FreeSans"/>
          <w:color w:val="222222"/>
          <w:shd w:fill="FFFFFF" w:val="clear"/>
        </w:rPr>
        <w:t> </w:t>
      </w:r>
      <w:r>
        <w:rPr>
          <w:rFonts w:ascii="FreeSans" w:hAnsi="FreeSans"/>
          <w:i/>
          <w:iCs/>
          <w:color w:val="222222"/>
        </w:rPr>
        <w:t>A practical guide for policy analysis. The eightfold path to more effective problem solving. Chatham House Publishers, New York</w:t>
      </w:r>
      <w:r>
        <w:rPr>
          <w:rFonts w:ascii="FreeSans" w:hAnsi="FreeSans"/>
          <w:color w:val="222222"/>
          <w:shd w:fill="FFFFFF" w:val="clear"/>
        </w:rPr>
        <w:t>, pp.95-110.</w:t>
      </w:r>
    </w:p>
    <w:p>
      <w:pPr>
        <w:pStyle w:val="Normal"/>
        <w:spacing w:lineRule="auto" w:line="360"/>
        <w:rPr>
          <w:rFonts w:ascii="FreeSans" w:hAnsi="FreeSans"/>
          <w:color w:val="000000"/>
          <w:highlight w:val="white"/>
        </w:rPr>
      </w:pPr>
      <w:r>
        <w:rPr>
          <w:rFonts w:ascii="FreeSans" w:hAnsi="FreeSans"/>
          <w:color w:val="000000"/>
          <w:highlight w:val="white"/>
        </w:rPr>
      </w:r>
    </w:p>
    <w:p>
      <w:pPr>
        <w:pStyle w:val="Normal"/>
        <w:spacing w:lineRule="auto" w:line="360"/>
        <w:rPr>
          <w:color w:val="222222"/>
          <w:highlight w:val="white"/>
        </w:rPr>
      </w:pPr>
      <w:r>
        <w:rPr>
          <w:rFonts w:ascii="FreeSans" w:hAnsi="FreeSans"/>
          <w:color w:val="222222"/>
          <w:shd w:fill="FFFFFF" w:val="clear"/>
        </w:rPr>
        <w:t>Bernard, H.R., 2002. Research methods in anthropology: Qualitative and quantitative methods . Walnut Creek.</w:t>
      </w:r>
    </w:p>
    <w:p>
      <w:pPr>
        <w:pStyle w:val="Normal"/>
        <w:spacing w:lineRule="auto" w:line="360"/>
        <w:rPr>
          <w:rFonts w:ascii="FreeSans" w:hAnsi="FreeSans"/>
        </w:rPr>
      </w:pPr>
      <w:r>
        <w:rPr>
          <w:rFonts w:ascii="FreeSans" w:hAnsi="FreeSans"/>
        </w:rPr>
      </w:r>
    </w:p>
    <w:p>
      <w:pPr>
        <w:pStyle w:val="Normal"/>
        <w:spacing w:lineRule="auto" w:line="360"/>
        <w:rPr>
          <w:color w:val="222222"/>
          <w:highlight w:val="white"/>
        </w:rPr>
      </w:pPr>
      <w:r>
        <w:rPr>
          <w:rFonts w:ascii="FreeSans" w:hAnsi="FreeSans"/>
          <w:color w:val="222222"/>
          <w:shd w:fill="FFFFFF" w:val="clear"/>
        </w:rPr>
        <w:t>Boyatzis, R.E., 1998.</w:t>
      </w:r>
      <w:r>
        <w:rPr>
          <w:rStyle w:val="Appleconvertedspace"/>
          <w:rFonts w:ascii="FreeSans" w:hAnsi="FreeSans"/>
          <w:color w:val="222222"/>
          <w:shd w:fill="FFFFFF" w:val="clear"/>
        </w:rPr>
        <w:t> </w:t>
      </w:r>
      <w:r>
        <w:rPr>
          <w:rFonts w:ascii="FreeSans" w:hAnsi="FreeSans"/>
          <w:i/>
          <w:iCs/>
          <w:color w:val="222222"/>
        </w:rPr>
        <w:t>Transforming qualitative information: Thematic analysis and code development</w:t>
      </w:r>
      <w:r>
        <w:rPr>
          <w:rFonts w:ascii="FreeSans" w:hAnsi="FreeSans"/>
          <w:color w:val="222222"/>
          <w:shd w:fill="FFFFFF" w:val="clear"/>
        </w:rPr>
        <w:t>. sage.</w:t>
      </w:r>
    </w:p>
    <w:p>
      <w:pPr>
        <w:pStyle w:val="Normal"/>
        <w:spacing w:lineRule="auto" w:line="360"/>
        <w:rPr>
          <w:rFonts w:ascii="FreeSans" w:hAnsi="FreeSans"/>
        </w:rPr>
      </w:pPr>
      <w:r>
        <w:rPr>
          <w:rFonts w:ascii="FreeSans" w:hAnsi="FreeSans"/>
        </w:rPr>
      </w:r>
    </w:p>
    <w:p>
      <w:pPr>
        <w:pStyle w:val="Normal"/>
        <w:spacing w:lineRule="auto" w:line="360"/>
        <w:rPr>
          <w:color w:val="222222"/>
          <w:highlight w:val="white"/>
        </w:rPr>
      </w:pPr>
      <w:r>
        <w:rPr>
          <w:rFonts w:ascii="FreeSans" w:hAnsi="FreeSans"/>
          <w:color w:val="222222"/>
          <w:shd w:fill="FFFFFF" w:val="clear"/>
        </w:rPr>
        <w:t>Coffey, A. and Atkinson, P., 1996.</w:t>
      </w:r>
      <w:r>
        <w:rPr>
          <w:rStyle w:val="Appleconvertedspace"/>
          <w:rFonts w:ascii="FreeSans" w:hAnsi="FreeSans"/>
          <w:color w:val="222222"/>
          <w:shd w:fill="FFFFFF" w:val="clear"/>
        </w:rPr>
        <w:t> </w:t>
      </w:r>
      <w:r>
        <w:rPr>
          <w:rFonts w:ascii="FreeSans" w:hAnsi="FreeSans"/>
          <w:i/>
          <w:iCs/>
          <w:color w:val="222222"/>
        </w:rPr>
        <w:t>Making sense of qualitative data: complementary research strategies</w:t>
      </w:r>
      <w:r>
        <w:rPr>
          <w:rFonts w:ascii="FreeSans" w:hAnsi="FreeSans"/>
          <w:color w:val="222222"/>
          <w:shd w:fill="FFFFFF" w:val="clear"/>
        </w:rPr>
        <w:t>. Sage Publications, Inc.</w:t>
      </w:r>
    </w:p>
    <w:p>
      <w:pPr>
        <w:pStyle w:val="Normal"/>
        <w:spacing w:lineRule="auto" w:line="360"/>
        <w:rPr>
          <w:rFonts w:ascii="FreeSans" w:hAnsi="FreeSans"/>
        </w:rPr>
      </w:pPr>
      <w:r>
        <w:rPr>
          <w:rFonts w:ascii="FreeSans" w:hAnsi="FreeSans"/>
        </w:rPr>
      </w:r>
    </w:p>
    <w:p>
      <w:pPr>
        <w:pStyle w:val="Normal"/>
        <w:spacing w:lineRule="auto" w:line="360"/>
        <w:rPr>
          <w:color w:val="222222"/>
          <w:highlight w:val="white"/>
        </w:rPr>
      </w:pPr>
      <w:r>
        <w:rPr>
          <w:rFonts w:ascii="FreeSans" w:hAnsi="FreeSans"/>
          <w:color w:val="222222"/>
          <w:shd w:fill="FFFFFF" w:val="clear"/>
        </w:rPr>
        <w:t>Creswell, J.W., Hanson, W.E., Clark Plano, V.L. and Morales, A., 2007. Qualitative research designs: Selection and implementation.</w:t>
      </w:r>
      <w:r>
        <w:rPr>
          <w:rStyle w:val="Appleconvertedspace"/>
          <w:rFonts w:ascii="FreeSans" w:hAnsi="FreeSans"/>
          <w:color w:val="222222"/>
          <w:shd w:fill="FFFFFF" w:val="clear"/>
        </w:rPr>
        <w:t> </w:t>
      </w:r>
      <w:r>
        <w:rPr>
          <w:rFonts w:ascii="FreeSans" w:hAnsi="FreeSans"/>
          <w:i/>
          <w:iCs/>
          <w:color w:val="222222"/>
        </w:rPr>
        <w:t>The counseling psychologist</w:t>
      </w:r>
      <w:r>
        <w:rPr>
          <w:rFonts w:ascii="FreeSans" w:hAnsi="FreeSans"/>
          <w:color w:val="222222"/>
          <w:shd w:fill="FFFFFF" w:val="clear"/>
        </w:rPr>
        <w:t>,</w:t>
      </w:r>
      <w:r>
        <w:rPr>
          <w:rStyle w:val="Appleconvertedspace"/>
          <w:rFonts w:ascii="FreeSans" w:hAnsi="FreeSans"/>
          <w:color w:val="222222"/>
          <w:shd w:fill="FFFFFF" w:val="clear"/>
        </w:rPr>
        <w:t> </w:t>
      </w:r>
      <w:r>
        <w:rPr>
          <w:rFonts w:ascii="FreeSans" w:hAnsi="FreeSans"/>
          <w:i/>
          <w:iCs/>
          <w:color w:val="222222"/>
        </w:rPr>
        <w:t>35</w:t>
      </w:r>
      <w:r>
        <w:rPr>
          <w:rFonts w:ascii="FreeSans" w:hAnsi="FreeSans"/>
          <w:color w:val="222222"/>
          <w:shd w:fill="FFFFFF" w:val="clear"/>
        </w:rPr>
        <w:t>(2), pp.236-264.</w:t>
      </w:r>
    </w:p>
    <w:p>
      <w:pPr>
        <w:pStyle w:val="Normal"/>
        <w:spacing w:lineRule="auto" w:line="360"/>
        <w:rPr>
          <w:rFonts w:ascii="FreeSans" w:hAnsi="FreeSans"/>
          <w:color w:val="222222"/>
          <w:highlight w:val="white"/>
        </w:rPr>
      </w:pPr>
      <w:r>
        <w:rPr>
          <w:rFonts w:ascii="FreeSans" w:hAnsi="FreeSans"/>
          <w:color w:val="222222"/>
          <w:highlight w:val="white"/>
        </w:rPr>
      </w:r>
    </w:p>
    <w:p>
      <w:pPr>
        <w:pStyle w:val="Normal"/>
        <w:widowControl w:val="false"/>
        <w:spacing w:lineRule="auto" w:line="360"/>
        <w:jc w:val="both"/>
        <w:rPr>
          <w:color w:val="000000"/>
        </w:rPr>
      </w:pPr>
      <w:r>
        <w:rPr>
          <w:rFonts w:ascii="FreeSans" w:hAnsi="FreeSans"/>
          <w:color w:val="000000"/>
        </w:rPr>
        <w:t xml:space="preserve">Deumert, A., Marginson, S., Nyland, C., Ramia, G. &amp; Sawir, E. (2005). </w:t>
      </w:r>
      <w:r>
        <w:rPr>
          <w:rFonts w:ascii="FreeSans" w:hAnsi="FreeSans"/>
          <w:i/>
          <w:iCs/>
          <w:color w:val="000000"/>
        </w:rPr>
        <w:t xml:space="preserve">The Social and Economic Security of International Students in Australia: Study of 200 student cases. Summary report. </w:t>
      </w:r>
      <w:r>
        <w:rPr>
          <w:rFonts w:ascii="FreeSans" w:hAnsi="FreeSans"/>
          <w:color w:val="000000"/>
        </w:rPr>
        <w:t>Monash Institute for the Study of Global Movements. Australia: Monash University.</w:t>
      </w:r>
    </w:p>
    <w:p>
      <w:pPr>
        <w:pStyle w:val="Normal"/>
        <w:spacing w:lineRule="auto" w:line="360"/>
        <w:rPr>
          <w:rFonts w:ascii="FreeSans" w:hAnsi="FreeSans"/>
          <w:color w:val="222222"/>
          <w:highlight w:val="white"/>
        </w:rPr>
      </w:pPr>
      <w:r>
        <w:rPr>
          <w:rFonts w:ascii="FreeSans" w:hAnsi="FreeSans"/>
          <w:color w:val="222222"/>
          <w:highlight w:val="white"/>
        </w:rPr>
      </w:r>
    </w:p>
    <w:p>
      <w:pPr>
        <w:pStyle w:val="Normal"/>
        <w:spacing w:lineRule="auto" w:line="360"/>
        <w:rPr>
          <w:color w:val="000000"/>
          <w:highlight w:val="white"/>
        </w:rPr>
      </w:pPr>
      <w:r>
        <w:rPr>
          <w:rFonts w:ascii="FreeSans" w:hAnsi="FreeSans"/>
          <w:color w:val="000000"/>
          <w:shd w:fill="FFFFFF" w:val="clear"/>
        </w:rPr>
        <w:t>DFAT. (2010).</w:t>
      </w:r>
      <w:r>
        <w:rPr>
          <w:rStyle w:val="Appleconvertedspace"/>
          <w:rFonts w:ascii="FreeSans" w:hAnsi="FreeSans"/>
          <w:color w:val="000000"/>
          <w:shd w:fill="FFFFFF" w:val="clear"/>
        </w:rPr>
        <w:t> </w:t>
      </w:r>
      <w:r>
        <w:rPr>
          <w:rFonts w:ascii="FreeSans" w:hAnsi="FreeSans"/>
          <w:i/>
          <w:iCs/>
          <w:color w:val="000000"/>
        </w:rPr>
        <w:t>Australia in brief: Tourism and international students.</w:t>
      </w:r>
      <w:r>
        <w:rPr>
          <w:rFonts w:ascii="FreeSans" w:hAnsi="FreeSans"/>
          <w:color w:val="000000"/>
          <w:shd w:fill="FFFFFF" w:val="clear"/>
        </w:rPr>
        <w:t>. [online] Available at: http://www.dfat.gov.au/aib/tourism_students.html [Accessed 18 Oct. 2018].</w:t>
      </w:r>
    </w:p>
    <w:p>
      <w:pPr>
        <w:pStyle w:val="Normal"/>
        <w:spacing w:lineRule="auto" w:line="360"/>
        <w:rPr>
          <w:rFonts w:ascii="FreeSans" w:hAnsi="FreeSans"/>
          <w:color w:val="000000"/>
          <w:highlight w:val="white"/>
        </w:rPr>
      </w:pPr>
      <w:r>
        <w:rPr>
          <w:rFonts w:ascii="FreeSans" w:hAnsi="FreeSans"/>
          <w:color w:val="000000"/>
          <w:highlight w:val="white"/>
        </w:rPr>
      </w:r>
    </w:p>
    <w:p>
      <w:pPr>
        <w:pStyle w:val="Normal"/>
        <w:spacing w:lineRule="auto" w:line="360"/>
        <w:rPr>
          <w:color w:val="000000"/>
          <w:highlight w:val="white"/>
        </w:rPr>
      </w:pPr>
      <w:r>
        <w:rPr>
          <w:rFonts w:ascii="FreeSans" w:hAnsi="FreeSans"/>
          <w:color w:val="000000"/>
          <w:shd w:fill="FFFFFF" w:val="clear"/>
        </w:rPr>
        <w:t>Etikan, I., Musa, S. A., &amp; Alkassim, R. S. (2016). Comparison of convenience sampling and purposive sampling. </w:t>
      </w:r>
      <w:r>
        <w:rPr>
          <w:rFonts w:ascii="FreeSans" w:hAnsi="FreeSans"/>
          <w:i/>
          <w:iCs/>
          <w:color w:val="000000"/>
          <w:shd w:fill="FFFFFF" w:val="clear"/>
        </w:rPr>
        <w:t>American Journal of Theoretical and Applied Statistics, 5(1)</w:t>
      </w:r>
      <w:r>
        <w:rPr>
          <w:rFonts w:ascii="FreeSans" w:hAnsi="FreeSans"/>
          <w:color w:val="000000"/>
          <w:shd w:fill="FFFFFF" w:val="clear"/>
        </w:rPr>
        <w:t>, 1-4.</w:t>
      </w:r>
    </w:p>
    <w:p>
      <w:pPr>
        <w:pStyle w:val="Normal"/>
        <w:spacing w:lineRule="auto" w:line="360"/>
        <w:rPr>
          <w:rFonts w:ascii="FreeSans" w:hAnsi="FreeSans"/>
          <w:color w:val="222222"/>
          <w:highlight w:val="white"/>
        </w:rPr>
      </w:pPr>
      <w:r>
        <w:rPr>
          <w:rFonts w:ascii="FreeSans" w:hAnsi="FreeSans"/>
          <w:color w:val="222222"/>
          <w:highlight w:val="white"/>
        </w:rPr>
      </w:r>
    </w:p>
    <w:p>
      <w:pPr>
        <w:pStyle w:val="Normal"/>
        <w:spacing w:lineRule="auto" w:line="360"/>
        <w:rPr>
          <w:color w:val="000000"/>
          <w:highlight w:val="white"/>
        </w:rPr>
      </w:pPr>
      <w:r>
        <w:rPr>
          <w:rFonts w:ascii="FreeSans" w:hAnsi="FreeSans"/>
          <w:color w:val="000000"/>
          <w:shd w:fill="FFFFFF" w:val="clear"/>
        </w:rPr>
        <w:t>Gill, P., Stewart, K., Treasure, E., &amp; Chadwick, B. (2008). Methods of data collection in qualitative research: interviews and focus groups. </w:t>
      </w:r>
      <w:r>
        <w:rPr>
          <w:rFonts w:ascii="FreeSans" w:hAnsi="FreeSans"/>
          <w:i/>
          <w:iCs/>
          <w:color w:val="000000"/>
          <w:shd w:fill="FFFFFF" w:val="clear"/>
        </w:rPr>
        <w:t>British dental journal,</w:t>
      </w:r>
      <w:r>
        <w:rPr>
          <w:rFonts w:ascii="FreeSans" w:hAnsi="FreeSans"/>
          <w:color w:val="000000"/>
          <w:shd w:fill="FFFFFF" w:val="clear"/>
        </w:rPr>
        <w:t> 204(6), 291.</w:t>
      </w:r>
    </w:p>
    <w:p>
      <w:pPr>
        <w:pStyle w:val="Normal"/>
        <w:spacing w:lineRule="auto" w:line="360"/>
        <w:rPr>
          <w:rFonts w:ascii="FreeSans" w:hAnsi="FreeSans"/>
          <w:color w:val="222222"/>
          <w:highlight w:val="white"/>
        </w:rPr>
      </w:pPr>
      <w:r>
        <w:rPr>
          <w:rFonts w:ascii="FreeSans" w:hAnsi="FreeSans"/>
          <w:color w:val="222222"/>
          <w:highlight w:val="white"/>
        </w:rPr>
      </w:r>
    </w:p>
    <w:p>
      <w:pPr>
        <w:pStyle w:val="Normal"/>
        <w:spacing w:lineRule="auto" w:line="360"/>
        <w:rPr>
          <w:color w:val="222222"/>
          <w:highlight w:val="white"/>
        </w:rPr>
      </w:pPr>
      <w:r>
        <w:rPr>
          <w:rFonts w:ascii="FreeSans" w:hAnsi="FreeSans"/>
          <w:color w:val="222222"/>
          <w:shd w:fill="FFFFFF" w:val="clear"/>
        </w:rPr>
        <w:t>Johnson, R.B., 1997. Examining the validity structure of qualitative research.</w:t>
      </w:r>
      <w:r>
        <w:rPr>
          <w:rStyle w:val="Appleconvertedspace"/>
          <w:rFonts w:ascii="FreeSans" w:hAnsi="FreeSans"/>
          <w:color w:val="222222"/>
          <w:shd w:fill="FFFFFF" w:val="clear"/>
        </w:rPr>
        <w:t> </w:t>
      </w:r>
      <w:r>
        <w:rPr>
          <w:rFonts w:ascii="FreeSans" w:hAnsi="FreeSans"/>
          <w:i/>
          <w:iCs/>
          <w:color w:val="222222"/>
        </w:rPr>
        <w:t>Education</w:t>
      </w:r>
      <w:r>
        <w:rPr>
          <w:rFonts w:ascii="FreeSans" w:hAnsi="FreeSans"/>
          <w:color w:val="222222"/>
          <w:shd w:fill="FFFFFF" w:val="clear"/>
        </w:rPr>
        <w:t>,</w:t>
      </w:r>
      <w:r>
        <w:rPr>
          <w:rStyle w:val="Appleconvertedspace"/>
          <w:rFonts w:ascii="FreeSans" w:hAnsi="FreeSans"/>
          <w:color w:val="222222"/>
          <w:shd w:fill="FFFFFF" w:val="clear"/>
        </w:rPr>
        <w:t> </w:t>
      </w:r>
      <w:r>
        <w:rPr>
          <w:rFonts w:ascii="FreeSans" w:hAnsi="FreeSans"/>
          <w:i/>
          <w:iCs/>
          <w:color w:val="222222"/>
        </w:rPr>
        <w:t>118</w:t>
      </w:r>
      <w:r>
        <w:rPr>
          <w:rFonts w:ascii="FreeSans" w:hAnsi="FreeSans"/>
          <w:color w:val="222222"/>
          <w:shd w:fill="FFFFFF" w:val="clear"/>
        </w:rPr>
        <w:t>(2), p.282.</w:t>
      </w:r>
    </w:p>
    <w:p>
      <w:pPr>
        <w:pStyle w:val="Normal"/>
        <w:spacing w:lineRule="auto" w:line="360" w:beforeAutospacing="1" w:afterAutospacing="1"/>
        <w:jc w:val="both"/>
        <w:rPr>
          <w:rFonts w:ascii="FreeSans" w:hAnsi="FreeSans"/>
        </w:rPr>
      </w:pPr>
      <w:r>
        <w:rPr>
          <w:rFonts w:ascii="FreeSans" w:hAnsi="FreeSans"/>
        </w:rPr>
        <w:t xml:space="preserve">Jepson, M., Turner, T. and Calway, B. (2002) </w:t>
      </w:r>
      <w:r>
        <w:rPr>
          <w:rFonts w:ascii="FreeSans" w:hAnsi="FreeSans"/>
          <w:i/>
          <w:iCs/>
        </w:rPr>
        <w:t xml:space="preserve">The transition of international students into post-graduate study: An incremental approach. </w:t>
      </w:r>
      <w:r>
        <w:rPr>
          <w:rFonts w:ascii="FreeSans" w:hAnsi="FreeSans"/>
        </w:rPr>
        <w:t xml:space="preserve">Centre for eBusiness and Communication, Swinburne University of Technology, Lilydale. </w:t>
      </w:r>
    </w:p>
    <w:p>
      <w:pPr>
        <w:pStyle w:val="Normal"/>
        <w:spacing w:lineRule="auto" w:line="360" w:beforeAutospacing="1" w:afterAutospacing="1"/>
        <w:jc w:val="both"/>
        <w:rPr>
          <w:rFonts w:ascii="FreeSans" w:hAnsi="FreeSans"/>
        </w:rPr>
      </w:pPr>
      <w:r>
        <w:rPr>
          <w:rFonts w:ascii="FreeSans" w:hAnsi="FreeSans"/>
        </w:rPr>
        <w:t xml:space="preserve">Khawaja, N. G., &amp; Dempsey, J. (2008). A Comparison of International and Domestic Tertiary Students in Australia. </w:t>
      </w:r>
      <w:r>
        <w:rPr>
          <w:rFonts w:ascii="FreeSans" w:hAnsi="FreeSans"/>
          <w:i/>
        </w:rPr>
        <w:t>Australian Journal of Guidance and Counselling</w:t>
      </w:r>
      <w:r>
        <w:rPr>
          <w:rFonts w:ascii="FreeSans" w:hAnsi="FreeSans"/>
        </w:rPr>
        <w:t>, 18(01), 30-46.</w:t>
      </w:r>
    </w:p>
    <w:p>
      <w:pPr>
        <w:pStyle w:val="Normal"/>
        <w:spacing w:lineRule="auto" w:line="360"/>
        <w:rPr>
          <w:color w:val="222222"/>
          <w:highlight w:val="white"/>
        </w:rPr>
      </w:pPr>
      <w:r>
        <w:rPr>
          <w:rFonts w:ascii="FreeSans" w:hAnsi="FreeSans"/>
          <w:color w:val="222222"/>
          <w:shd w:fill="FFFFFF" w:val="clear"/>
        </w:rPr>
        <w:t>Seidler, J., 1974. On using informants: A technique for collecting quantitative data and controlling measurement error in organization analysis.</w:t>
      </w:r>
      <w:r>
        <w:rPr>
          <w:rStyle w:val="Appleconvertedspace"/>
          <w:rFonts w:ascii="FreeSans" w:hAnsi="FreeSans"/>
          <w:color w:val="222222"/>
          <w:shd w:fill="FFFFFF" w:val="clear"/>
        </w:rPr>
        <w:t> </w:t>
      </w:r>
      <w:r>
        <w:rPr>
          <w:rFonts w:ascii="FreeSans" w:hAnsi="FreeSans"/>
          <w:i/>
          <w:iCs/>
          <w:color w:val="222222"/>
        </w:rPr>
        <w:t>American Sociological Review</w:t>
      </w:r>
      <w:r>
        <w:rPr>
          <w:rFonts w:ascii="FreeSans" w:hAnsi="FreeSans"/>
          <w:color w:val="222222"/>
          <w:shd w:fill="FFFFFF" w:val="clear"/>
        </w:rPr>
        <w:t>, pp.816-831.</w:t>
      </w:r>
    </w:p>
    <w:p>
      <w:pPr>
        <w:pStyle w:val="Normal"/>
        <w:spacing w:lineRule="auto" w:line="360"/>
        <w:rPr>
          <w:rFonts w:ascii="FreeSans" w:hAnsi="FreeSans"/>
        </w:rPr>
      </w:pPr>
      <w:r>
        <w:rPr>
          <w:rFonts w:ascii="FreeSans" w:hAnsi="FreeSans"/>
        </w:rPr>
      </w:r>
    </w:p>
    <w:p>
      <w:pPr>
        <w:pStyle w:val="Normal"/>
        <w:spacing w:lineRule="auto" w:line="360"/>
        <w:rPr>
          <w:color w:val="222222"/>
          <w:highlight w:val="white"/>
        </w:rPr>
      </w:pPr>
      <w:r>
        <w:rPr>
          <w:rFonts w:ascii="FreeSans" w:hAnsi="FreeSans"/>
          <w:color w:val="222222"/>
          <w:shd w:fill="FFFFFF" w:val="clear"/>
        </w:rPr>
        <w:t>Spencer, L. and Ritchie, J., 2002. Qualitative data analysis for applied policy research. In</w:t>
      </w:r>
      <w:r>
        <w:rPr>
          <w:rStyle w:val="Appleconvertedspace"/>
          <w:rFonts w:ascii="FreeSans" w:hAnsi="FreeSans"/>
          <w:color w:val="222222"/>
          <w:shd w:fill="FFFFFF" w:val="clear"/>
        </w:rPr>
        <w:t> </w:t>
      </w:r>
      <w:r>
        <w:rPr>
          <w:rFonts w:ascii="FreeSans" w:hAnsi="FreeSans"/>
          <w:i/>
          <w:iCs/>
          <w:color w:val="222222"/>
        </w:rPr>
        <w:t>Analyzing qualitative data</w:t>
      </w:r>
      <w:r>
        <w:rPr>
          <w:rStyle w:val="Appleconvertedspace"/>
          <w:rFonts w:ascii="FreeSans" w:hAnsi="FreeSans"/>
          <w:color w:val="222222"/>
          <w:shd w:fill="FFFFFF" w:val="clear"/>
        </w:rPr>
        <w:t> </w:t>
      </w:r>
      <w:r>
        <w:rPr>
          <w:rFonts w:ascii="FreeSans" w:hAnsi="FreeSans"/>
          <w:color w:val="222222"/>
          <w:shd w:fill="FFFFFF" w:val="clear"/>
        </w:rPr>
        <w:t>(pp. 187-208). Routledge.</w:t>
      </w:r>
    </w:p>
    <w:p>
      <w:pPr>
        <w:pStyle w:val="Normal"/>
        <w:spacing w:lineRule="auto" w:line="360"/>
        <w:rPr>
          <w:rFonts w:ascii="FreeSans" w:hAnsi="FreeSans"/>
          <w:color w:val="222222"/>
          <w:highlight w:val="white"/>
        </w:rPr>
      </w:pPr>
      <w:r>
        <w:rPr>
          <w:rFonts w:ascii="FreeSans" w:hAnsi="FreeSans"/>
          <w:color w:val="222222"/>
          <w:highlight w:val="white"/>
        </w:rPr>
      </w:r>
    </w:p>
    <w:p>
      <w:pPr>
        <w:pStyle w:val="Normal"/>
        <w:spacing w:lineRule="auto" w:line="360"/>
        <w:rPr>
          <w:color w:val="222222"/>
          <w:highlight w:val="white"/>
        </w:rPr>
      </w:pPr>
      <w:r>
        <w:rPr>
          <w:rFonts w:ascii="FreeSans" w:hAnsi="FreeSans"/>
          <w:color w:val="222222"/>
          <w:shd w:fill="FFFFFF" w:val="clear"/>
        </w:rPr>
        <w:t>Stewart, D. W., &amp; Shamdasani, P. N. (2014). </w:t>
      </w:r>
      <w:r>
        <w:rPr>
          <w:rFonts w:ascii="FreeSans" w:hAnsi="FreeSans"/>
          <w:i/>
          <w:iCs/>
          <w:color w:val="222222"/>
          <w:shd w:fill="FFFFFF" w:val="clear"/>
        </w:rPr>
        <w:t>Focus groups: Theory and practice (Vol. 20)</w:t>
      </w:r>
      <w:r>
        <w:rPr>
          <w:rFonts w:ascii="FreeSans" w:hAnsi="FreeSans"/>
          <w:color w:val="222222"/>
          <w:shd w:fill="FFFFFF" w:val="clear"/>
        </w:rPr>
        <w:t>. Sage publications.</w:t>
      </w:r>
    </w:p>
    <w:p>
      <w:pPr>
        <w:pStyle w:val="Normal"/>
        <w:spacing w:lineRule="auto" w:line="360"/>
        <w:rPr>
          <w:rFonts w:ascii="FreeSans" w:hAnsi="FreeSans"/>
          <w:color w:val="222222"/>
          <w:highlight w:val="white"/>
        </w:rPr>
      </w:pPr>
      <w:r>
        <w:rPr>
          <w:rFonts w:ascii="FreeSans" w:hAnsi="FreeSans"/>
          <w:color w:val="222222"/>
          <w:highlight w:val="white"/>
        </w:rPr>
      </w:r>
    </w:p>
    <w:p>
      <w:pPr>
        <w:pStyle w:val="Normal"/>
        <w:spacing w:lineRule="auto" w:line="360"/>
        <w:rPr>
          <w:color w:val="222222"/>
          <w:highlight w:val="white"/>
        </w:rPr>
      </w:pPr>
      <w:r>
        <w:rPr>
          <w:rFonts w:ascii="FreeSans" w:hAnsi="FreeSans"/>
          <w:color w:val="222222"/>
          <w:shd w:fill="FFFFFF" w:val="clear"/>
        </w:rPr>
        <w:t>The University of Newcastle. (2018). Postgraduate Study for International Students. Retrieved from https://www.newcastle.edu.au/about-uon/governance-and-leadership/faculties-and-schools/faculty-of-education-and-arts/international-postgrad</w:t>
      </w:r>
    </w:p>
    <w:p>
      <w:pPr>
        <w:pStyle w:val="Normal"/>
        <w:spacing w:lineRule="auto" w:line="360"/>
        <w:rPr>
          <w:rFonts w:ascii="FreeSans" w:hAnsi="FreeSans"/>
          <w:color w:val="222222"/>
          <w:highlight w:val="white"/>
        </w:rPr>
      </w:pPr>
      <w:r>
        <w:rPr>
          <w:rFonts w:ascii="FreeSans" w:hAnsi="FreeSans"/>
          <w:color w:val="222222"/>
          <w:highlight w:val="white"/>
        </w:rPr>
      </w:r>
    </w:p>
    <w:p>
      <w:pPr>
        <w:pStyle w:val="Normal"/>
        <w:spacing w:lineRule="auto" w:line="360"/>
        <w:rPr>
          <w:color w:val="222222"/>
          <w:highlight w:val="white"/>
        </w:rPr>
      </w:pPr>
      <w:r>
        <w:rPr>
          <w:rFonts w:ascii="FreeSans" w:hAnsi="FreeSans"/>
          <w:color w:val="222222"/>
          <w:shd w:fill="FFFFFF" w:val="clear"/>
        </w:rPr>
        <w:t>Tran, V.M. and Perry, J.A., 2003. Challenges to using neem (Azadirachta indica var. sianensis Valenton) in Thailand.</w:t>
      </w:r>
      <w:r>
        <w:rPr>
          <w:rStyle w:val="Appleconvertedspace"/>
          <w:rFonts w:ascii="FreeSans" w:hAnsi="FreeSans"/>
          <w:color w:val="222222"/>
          <w:shd w:fill="FFFFFF" w:val="clear"/>
        </w:rPr>
        <w:t> </w:t>
      </w:r>
      <w:r>
        <w:rPr>
          <w:rFonts w:ascii="FreeSans" w:hAnsi="FreeSans"/>
          <w:i/>
          <w:iCs/>
          <w:color w:val="222222"/>
        </w:rPr>
        <w:t>Economic botany</w:t>
      </w:r>
      <w:r>
        <w:rPr>
          <w:rFonts w:ascii="FreeSans" w:hAnsi="FreeSans"/>
          <w:color w:val="222222"/>
          <w:shd w:fill="FFFFFF" w:val="clear"/>
        </w:rPr>
        <w:t>,</w:t>
      </w:r>
      <w:r>
        <w:rPr>
          <w:rStyle w:val="Appleconvertedspace"/>
          <w:rFonts w:ascii="FreeSans" w:hAnsi="FreeSans"/>
          <w:color w:val="222222"/>
          <w:shd w:fill="FFFFFF" w:val="clear"/>
        </w:rPr>
        <w:t> </w:t>
      </w:r>
      <w:r>
        <w:rPr>
          <w:rFonts w:ascii="FreeSans" w:hAnsi="FreeSans"/>
          <w:i/>
          <w:iCs/>
          <w:color w:val="222222"/>
        </w:rPr>
        <w:t>57</w:t>
      </w:r>
      <w:r>
        <w:rPr>
          <w:rFonts w:ascii="FreeSans" w:hAnsi="FreeSans"/>
          <w:color w:val="222222"/>
          <w:shd w:fill="FFFFFF" w:val="clear"/>
        </w:rPr>
        <w:t>(1), p.93.</w:t>
      </w:r>
    </w:p>
    <w:p>
      <w:pPr>
        <w:pStyle w:val="Normal"/>
        <w:spacing w:lineRule="auto" w:line="360"/>
        <w:rPr>
          <w:rFonts w:ascii="FreeSans" w:hAnsi="FreeSans"/>
          <w:color w:val="222222"/>
          <w:highlight w:val="white"/>
        </w:rPr>
      </w:pPr>
      <w:r>
        <w:rPr>
          <w:rFonts w:ascii="FreeSans" w:hAnsi="FreeSans"/>
          <w:color w:val="222222"/>
          <w:highlight w:val="white"/>
        </w:rPr>
      </w:r>
    </w:p>
    <w:p>
      <w:pPr>
        <w:pStyle w:val="Normal"/>
        <w:spacing w:lineRule="auto" w:line="360"/>
        <w:rPr>
          <w:rFonts w:ascii="FreeSans" w:hAnsi="FreeSans"/>
        </w:rPr>
      </w:pPr>
      <w:r>
        <w:rPr>
          <w:rFonts w:ascii="FreeSans" w:hAnsi="FreeSans"/>
        </w:rPr>
      </w:r>
    </w:p>
    <w:p>
      <w:pPr>
        <w:pStyle w:val="Normal"/>
        <w:spacing w:lineRule="auto" w:line="360"/>
        <w:rPr>
          <w:color w:val="222222"/>
          <w:highlight w:val="white"/>
        </w:rPr>
      </w:pPr>
      <w:r>
        <w:rPr>
          <w:rFonts w:ascii="FreeSans" w:hAnsi="FreeSans"/>
          <w:color w:val="222222"/>
          <w:shd w:fill="FFFFFF" w:val="clear"/>
        </w:rPr>
        <w:t>Turner III, D.W., 2010. Qualitative interview design: A practical guide for novice investigators.</w:t>
      </w:r>
      <w:r>
        <w:rPr>
          <w:rStyle w:val="Appleconvertedspace"/>
          <w:rFonts w:ascii="FreeSans" w:hAnsi="FreeSans"/>
          <w:color w:val="222222"/>
          <w:shd w:fill="FFFFFF" w:val="clear"/>
        </w:rPr>
        <w:t> </w:t>
      </w:r>
      <w:r>
        <w:rPr>
          <w:rFonts w:ascii="FreeSans" w:hAnsi="FreeSans"/>
          <w:i/>
          <w:iCs/>
          <w:color w:val="222222"/>
        </w:rPr>
        <w:t>The qualitative report</w:t>
      </w:r>
      <w:r>
        <w:rPr>
          <w:rFonts w:ascii="FreeSans" w:hAnsi="FreeSans"/>
          <w:color w:val="222222"/>
          <w:shd w:fill="FFFFFF" w:val="clear"/>
        </w:rPr>
        <w:t>,</w:t>
      </w:r>
      <w:r>
        <w:rPr>
          <w:rStyle w:val="Appleconvertedspace"/>
          <w:rFonts w:ascii="FreeSans" w:hAnsi="FreeSans"/>
          <w:color w:val="222222"/>
          <w:shd w:fill="FFFFFF" w:val="clear"/>
        </w:rPr>
        <w:t> </w:t>
      </w:r>
      <w:r>
        <w:rPr>
          <w:rFonts w:ascii="FreeSans" w:hAnsi="FreeSans"/>
          <w:i/>
          <w:iCs/>
          <w:color w:val="222222"/>
        </w:rPr>
        <w:t>15</w:t>
      </w:r>
      <w:r>
        <w:rPr>
          <w:rFonts w:ascii="FreeSans" w:hAnsi="FreeSans"/>
          <w:color w:val="222222"/>
          <w:shd w:fill="FFFFFF" w:val="clear"/>
        </w:rPr>
        <w:t>(3), pp.754-760.</w:t>
      </w:r>
    </w:p>
    <w:p>
      <w:pPr>
        <w:pStyle w:val="Normal"/>
        <w:spacing w:lineRule="auto" w:line="360"/>
        <w:rPr>
          <w:rFonts w:ascii="FreeSans" w:hAnsi="FreeSans"/>
        </w:rPr>
      </w:pPr>
      <w:r>
        <w:rPr>
          <w:rFonts w:ascii="FreeSans" w:hAnsi="FreeSans"/>
        </w:rPr>
      </w:r>
    </w:p>
    <w:p>
      <w:pPr>
        <w:pStyle w:val="Normal"/>
        <w:spacing w:lineRule="auto" w:line="360"/>
        <w:rPr>
          <w:color w:val="222222"/>
          <w:highlight w:val="white"/>
        </w:rPr>
      </w:pPr>
      <w:r>
        <w:rPr>
          <w:rFonts w:ascii="FreeSans" w:hAnsi="FreeSans"/>
          <w:color w:val="222222"/>
          <w:shd w:fill="FFFFFF" w:val="clear"/>
        </w:rPr>
        <w:t>Walker, R., 1985.</w:t>
      </w:r>
      <w:r>
        <w:rPr>
          <w:rStyle w:val="Appleconvertedspace"/>
          <w:rFonts w:ascii="FreeSans" w:hAnsi="FreeSans"/>
          <w:color w:val="222222"/>
          <w:shd w:fill="FFFFFF" w:val="clear"/>
        </w:rPr>
        <w:t> </w:t>
      </w:r>
      <w:r>
        <w:rPr>
          <w:rFonts w:ascii="FreeSans" w:hAnsi="FreeSans"/>
          <w:i/>
          <w:iCs/>
          <w:color w:val="222222"/>
        </w:rPr>
        <w:t>Applied qualitative research</w:t>
      </w:r>
      <w:r>
        <w:rPr>
          <w:rFonts w:ascii="FreeSans" w:hAnsi="FreeSans"/>
          <w:color w:val="222222"/>
          <w:shd w:fill="FFFFFF" w:val="clear"/>
        </w:rPr>
        <w:t>. Gower Pub Co.</w:t>
      </w:r>
    </w:p>
    <w:p>
      <w:pPr>
        <w:pStyle w:val="Normal"/>
        <w:spacing w:lineRule="auto" w:line="360"/>
        <w:rPr>
          <w:rFonts w:ascii="FreeSans" w:hAnsi="FreeSans"/>
          <w:color w:val="000000"/>
          <w:highlight w:val="white"/>
        </w:rPr>
      </w:pPr>
      <w:r>
        <w:rPr>
          <w:rFonts w:ascii="FreeSans" w:hAnsi="FreeSans"/>
          <w:color w:val="000000"/>
          <w:highlight w:val="white"/>
        </w:rPr>
      </w:r>
    </w:p>
    <w:p>
      <w:pPr>
        <w:pStyle w:val="Normal"/>
        <w:spacing w:lineRule="auto" w:line="360"/>
        <w:rPr>
          <w:rFonts w:ascii="FreeSans" w:hAnsi="FreeSans"/>
        </w:rPr>
      </w:pPr>
      <w:r>
        <w:rPr>
          <w:rFonts w:ascii="FreeSans" w:hAnsi="FreeSans"/>
        </w:rPr>
      </w:r>
    </w:p>
    <w:p>
      <w:pPr>
        <w:pStyle w:val="Normal"/>
        <w:spacing w:lineRule="auto" w:line="360"/>
        <w:rPr/>
      </w:pPr>
      <w:r>
        <w:rPr/>
      </w:r>
    </w:p>
    <w:sectPr>
      <w:type w:val="nextPage"/>
      <w:pgSz w:w="11906" w:h="16838"/>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FreeSans">
    <w:charset w:val="01"/>
    <w:family w:val="swiss"/>
    <w:pitch w:val="variable"/>
  </w:font>
  <w:font w:name="Liberation Sans">
    <w:altName w:val="Arial"/>
    <w:charset w:val="01"/>
    <w:family w:val="roman"/>
    <w:pitch w:val="variable"/>
  </w:font>
  <w:font w:name="Arial">
    <w:charset w:val="01"/>
    <w:family w:val="roman"/>
    <w:pitch w:val="variable"/>
  </w:font>
  <w:font w:name="FreeSans">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81"/>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AU" w:eastAsia="" w:bidi="bn-I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Vrinda" w:asciiTheme="minorHAnsi" w:cstheme="minorBidi" w:eastAsiaTheme="minorHAnsi" w:hAnsiTheme="minorHAnsi"/>
        <w:szCs w:val="24"/>
        <w:lang w:val="en-AU"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4f0402"/>
    <w:pPr>
      <w:widowControl/>
      <w:bidi w:val="0"/>
      <w:jc w:val="left"/>
    </w:pPr>
    <w:rPr>
      <w:rFonts w:ascii="Times New Roman" w:hAnsi="Times New Roman" w:eastAsia="Times New Roman" w:cs="Times New Roman"/>
      <w:color w:val="auto"/>
      <w:kern w:val="0"/>
      <w:sz w:val="24"/>
      <w:szCs w:val="24"/>
      <w:lang w:val="en-AU" w:eastAsia="en-US" w:bidi="bn-IN"/>
    </w:rPr>
  </w:style>
  <w:style w:type="paragraph" w:styleId="Heading1">
    <w:name w:val="Heading 1"/>
    <w:basedOn w:val="Heading"/>
    <w:qFormat/>
    <w:pPr>
      <w:numPr>
        <w:ilvl w:val="0"/>
        <w:numId w:val="1"/>
      </w:numPr>
      <w:spacing w:lineRule="auto" w:line="360" w:before="240" w:after="120"/>
      <w:outlineLvl w:val="0"/>
    </w:pPr>
    <w:rPr>
      <w:rFonts w:ascii="FreeSans" w:hAnsi="FreeSans"/>
      <w:b/>
      <w:bCs/>
      <w:sz w:val="36"/>
      <w:szCs w:val="36"/>
    </w:rPr>
  </w:style>
  <w:style w:type="paragraph" w:styleId="Heading2">
    <w:name w:val="Heading 2"/>
    <w:basedOn w:val="Heading"/>
    <w:qFormat/>
    <w:pPr>
      <w:numPr>
        <w:ilvl w:val="1"/>
        <w:numId w:val="1"/>
      </w:numPr>
      <w:spacing w:before="200" w:after="120"/>
      <w:outlineLvl w:val="1"/>
    </w:pPr>
    <w:rPr>
      <w:rFonts w:ascii="FreeSans" w:hAnsi="FreeSans"/>
      <w:b/>
      <w:bCs/>
      <w:sz w:val="32"/>
      <w:szCs w:val="32"/>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4a55e8"/>
    <w:rPr>
      <w:rFonts w:ascii="Times New Roman" w:hAnsi="Times New Roman" w:cs="Times New Roman"/>
      <w:sz w:val="18"/>
      <w:szCs w:val="18"/>
    </w:rPr>
  </w:style>
  <w:style w:type="character" w:styleId="Annotationreference">
    <w:name w:val="annotation reference"/>
    <w:basedOn w:val="DefaultParagraphFont"/>
    <w:uiPriority w:val="99"/>
    <w:semiHidden/>
    <w:unhideWhenUsed/>
    <w:qFormat/>
    <w:rsid w:val="006c763d"/>
    <w:rPr>
      <w:sz w:val="16"/>
      <w:szCs w:val="16"/>
    </w:rPr>
  </w:style>
  <w:style w:type="character" w:styleId="CommentTextChar" w:customStyle="1">
    <w:name w:val="Comment Text Char"/>
    <w:basedOn w:val="DefaultParagraphFont"/>
    <w:link w:val="CommentText"/>
    <w:uiPriority w:val="99"/>
    <w:semiHidden/>
    <w:qFormat/>
    <w:rsid w:val="006c763d"/>
    <w:rPr>
      <w:sz w:val="20"/>
      <w:szCs w:val="20"/>
    </w:rPr>
  </w:style>
  <w:style w:type="character" w:styleId="CommentSubjectChar" w:customStyle="1">
    <w:name w:val="Comment Subject Char"/>
    <w:basedOn w:val="CommentTextChar"/>
    <w:link w:val="CommentSubject"/>
    <w:uiPriority w:val="99"/>
    <w:semiHidden/>
    <w:qFormat/>
    <w:rsid w:val="006c763d"/>
    <w:rPr>
      <w:b/>
      <w:bCs/>
      <w:sz w:val="20"/>
      <w:szCs w:val="20"/>
    </w:rPr>
  </w:style>
  <w:style w:type="character" w:styleId="Appleconvertedspace" w:customStyle="1">
    <w:name w:val="apple-converted-space"/>
    <w:basedOn w:val="DefaultParagraphFont"/>
    <w:qFormat/>
    <w:rsid w:val="00125671"/>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Web">
    <w:name w:val="Normal (Web)"/>
    <w:basedOn w:val="Normal"/>
    <w:uiPriority w:val="99"/>
    <w:unhideWhenUsed/>
    <w:qFormat/>
    <w:rsid w:val="005c654b"/>
    <w:pPr>
      <w:spacing w:beforeAutospacing="1" w:afterAutospacing="1"/>
    </w:pPr>
    <w:rPr>
      <w:rFonts w:eastAsia="Calibri"/>
      <w:lang w:val="en-US"/>
    </w:rPr>
  </w:style>
  <w:style w:type="paragraph" w:styleId="BalloonText">
    <w:name w:val="Balloon Text"/>
    <w:basedOn w:val="Normal"/>
    <w:link w:val="BalloonTextChar"/>
    <w:uiPriority w:val="99"/>
    <w:semiHidden/>
    <w:unhideWhenUsed/>
    <w:qFormat/>
    <w:rsid w:val="004a55e8"/>
    <w:pPr/>
    <w:rPr>
      <w:sz w:val="18"/>
      <w:szCs w:val="18"/>
    </w:rPr>
  </w:style>
  <w:style w:type="paragraph" w:styleId="Annotationtext">
    <w:name w:val="annotation text"/>
    <w:basedOn w:val="Normal"/>
    <w:link w:val="CommentTextChar"/>
    <w:uiPriority w:val="99"/>
    <w:semiHidden/>
    <w:unhideWhenUsed/>
    <w:qFormat/>
    <w:rsid w:val="006c763d"/>
    <w:pPr/>
    <w:rPr>
      <w:sz w:val="20"/>
      <w:szCs w:val="20"/>
    </w:rPr>
  </w:style>
  <w:style w:type="paragraph" w:styleId="Annotationsubject">
    <w:name w:val="annotation subject"/>
    <w:basedOn w:val="Annotationtext"/>
    <w:link w:val="CommentSubjectChar"/>
    <w:uiPriority w:val="99"/>
    <w:semiHidden/>
    <w:unhideWhenUsed/>
    <w:qFormat/>
    <w:rsid w:val="006c763d"/>
    <w:pPr/>
    <w:rPr>
      <w:b/>
      <w:bCs/>
    </w:rPr>
  </w:style>
  <w:style w:type="paragraph" w:styleId="Default" w:customStyle="1">
    <w:name w:val="Default"/>
    <w:qFormat/>
    <w:rsid w:val="006c7a96"/>
    <w:pPr>
      <w:widowControl w:val="false"/>
      <w:bidi w:val="0"/>
      <w:jc w:val="left"/>
    </w:pPr>
    <w:rPr>
      <w:rFonts w:ascii="Arial" w:hAnsi="Arial" w:eastAsia="Calibri" w:cs="Arial"/>
      <w:color w:val="000000"/>
      <w:kern w:val="0"/>
      <w:sz w:val="24"/>
      <w:szCs w:val="24"/>
      <w:lang w:val="en-US" w:eastAsia="en-US" w:bidi="ar-SA"/>
    </w:rPr>
  </w:style>
  <w:style w:type="paragraph" w:styleId="ListParagraph">
    <w:name w:val="List Paragraph"/>
    <w:basedOn w:val="Normal"/>
    <w:uiPriority w:val="34"/>
    <w:qFormat/>
    <w:rsid w:val="00b27c0f"/>
    <w:pPr>
      <w:spacing w:before="0" w:after="0"/>
      <w:ind w:left="720" w:hanging="0"/>
      <w:contextualSpacing/>
    </w:pPr>
    <w:rPr>
      <w:lang w:val="en-US"/>
    </w:rPr>
  </w:style>
  <w:style w:type="paragraph" w:styleId="Title">
    <w:name w:val="Title"/>
    <w:basedOn w:val="Heading"/>
    <w:qFormat/>
    <w:pPr>
      <w:spacing w:lineRule="auto" w:line="276"/>
      <w:jc w:val="center"/>
    </w:pPr>
    <w:rPr>
      <w:rFonts w:ascii="FreeSans" w:hAnsi="FreeSans"/>
      <w:b/>
      <w:bCs/>
      <w:sz w:val="56"/>
      <w:szCs w:val="56"/>
    </w:rPr>
  </w:style>
  <w:style w:type="paragraph" w:styleId="Subtitle">
    <w:name w:val="Subtitle"/>
    <w:basedOn w:val="Heading"/>
    <w:qFormat/>
    <w:pPr>
      <w:spacing w:lineRule="auto" w:line="360" w:before="60" w:after="120"/>
      <w:jc w:val="center"/>
    </w:pPr>
    <w:rPr>
      <w:rFonts w:ascii="FreeSans" w:hAnsi="FreeSans"/>
      <w:sz w:val="36"/>
      <w:szCs w:val="36"/>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customStyle="1" w:styleId="ListTable1Light-Accent31">
    <w:name w:val="List Table 1 Light - Accent 31"/>
    <w:basedOn w:val="TableNormal"/>
    <w:uiPriority w:val="46"/>
    <w:rsid w:val="006446ca"/>
    <w:rPr>
      <w:lang w:val="en-US"/>
    </w:rPr>
    <w:tblPr>
      <w:tblStyleRowBandSize w:val="1"/>
      <w:tblStyleColBandSize w:val="1"/>
    </w:tblPr>
    <w:tblStylePr w:type="firstRow">
      <w:rPr>
        <w:b/>
        <w:bCs/>
      </w:rPr>
      <w:tblPr/>
      <w:tcPr>
        <w:tcBorders>
          <w:bottom w:val="single" w:color="C9C9C9" w:themeColor="accent3" w:sz="4" w:space="0"/>
        </w:tcBorders>
      </w:tcPr>
    </w:tblStylePr>
    <w:tblStylePr w:type="lastRow">
      <w:rPr>
        <w:b/>
        <w:bCs/>
      </w:rPr>
      <w:tblPr/>
      <w:tcPr>
        <w:tcBorders>
          <w:top w:val="single" w:color="C9C9C9" w:themeColor="accent3" w:sz="4" w:space="0"/>
        </w:tcBorders>
      </w:tcPr>
    </w:tblStylePr>
    <w:tblStylePr w:type="firstCol">
      <w:rPr>
        <w:b/>
        <w:bCs/>
      </w:rPr>
      <w:tblPr/>
    </w:tblStylePr>
    <w:tblStylePr w:type="lastCol">
      <w:rPr>
        <w:b/>
        <w:bCs/>
      </w:rPr>
      <w:tbl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dd0cd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Application>LibreOffice/6.0.6.2$Linux_X86_64 LibreOffice_project/00m0$Build-2</Application>
  <Pages>12</Pages>
  <Words>3324</Words>
  <Characters>19581</Characters>
  <CharactersWithSpaces>22828</CharactersWithSpaces>
  <Paragraphs>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2018-11-27T06:42:00Z</dcterms:created>
  <dc:creator>Microsoft Office User</dc:creator>
  <dc:description/>
  <dc:language>en-AU</dc:language>
  <cp:lastModifiedBy/>
  <dcterms:modified xsi:type="dcterms:W3CDTF">2018-11-29T15:48:58Z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