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rPr/>
      </w:pPr>
      <w:r>
        <w:rPr/>
        <w:t>Video reflexive ethnography in hospital with people with dementia and delirium – Can it be done?</w:t>
      </w:r>
    </w:p>
    <w:p>
      <w:pPr>
        <w:pStyle w:val="Heading1"/>
        <w:rPr>
          <w:rFonts w:ascii="FreeSans" w:hAnsi="FreeSans"/>
        </w:rPr>
      </w:pPr>
      <w:r>
        <w:rPr/>
      </w:r>
    </w:p>
    <w:p>
      <w:pPr>
        <w:pStyle w:val="Subtitle"/>
        <w:rPr/>
      </w:pPr>
      <w:r>
        <w:rPr/>
        <w:t xml:space="preserve">Symonds, Tamsin </w:t>
      </w:r>
      <w:r>
        <w:rPr>
          <w:b w:val="false"/>
          <w:bCs w:val="false"/>
          <w:i/>
          <w:iCs/>
        </w:rPr>
        <w:t>Southern Adelaide Local Health Network</w:t>
      </w:r>
    </w:p>
    <w:p>
      <w:pPr>
        <w:pStyle w:val="Subtitle"/>
        <w:rPr/>
      </w:pPr>
      <w:r>
        <w:rPr>
          <w:b/>
          <w:bCs/>
        </w:rPr>
        <w:t xml:space="preserve">Dadich, Ann </w:t>
      </w:r>
      <w:r>
        <w:rPr>
          <w:b w:val="false"/>
          <w:bCs w:val="false"/>
          <w:i/>
          <w:iCs/>
        </w:rPr>
        <w:t>Business School, Western Sydney University</w:t>
      </w:r>
    </w:p>
    <w:p>
      <w:pPr>
        <w:pStyle w:val="Subtitle"/>
        <w:rPr/>
      </w:pPr>
      <w:r>
        <w:rPr/>
        <w:t xml:space="preserve">Collier, Aileen </w:t>
      </w:r>
      <w:r>
        <w:rPr>
          <w:b w:val="false"/>
          <w:bCs w:val="false"/>
          <w:i/>
          <w:iCs/>
        </w:rPr>
        <w:t>School of Nursing, University of Auckland</w:t>
      </w:r>
    </w:p>
    <w:p>
      <w:pPr>
        <w:pStyle w:val="Subtitle"/>
        <w:rPr/>
      </w:pPr>
      <w:r>
        <w:rPr/>
        <w:t xml:space="preserve">Hosie, Annmarie </w:t>
      </w:r>
      <w:r>
        <w:rPr>
          <w:b w:val="false"/>
          <w:bCs w:val="false"/>
          <w:i/>
          <w:iCs/>
        </w:rPr>
        <w:t>Palliative Care Clinical Studies Collaborative, University of Technology Sydney</w:t>
      </w:r>
    </w:p>
    <w:p>
      <w:pPr>
        <w:pStyle w:val="Subtitle"/>
        <w:rPr/>
      </w:pPr>
      <w:r>
        <w:rPr/>
        <w:t xml:space="preserve">De Bellis, Anita </w:t>
      </w:r>
      <w:r>
        <w:rPr>
          <w:b w:val="false"/>
          <w:bCs w:val="false"/>
          <w:i/>
          <w:iCs/>
        </w:rPr>
        <w:t>College of Nursing and Health Sciences, Flinders University</w:t>
      </w:r>
    </w:p>
    <w:p>
      <w:pPr>
        <w:pStyle w:val="Subtitle"/>
        <w:rPr/>
      </w:pPr>
      <w:r>
        <w:rPr/>
        <w:t xml:space="preserve">Bevan, Alan </w:t>
      </w:r>
      <w:r>
        <w:rPr>
          <w:b w:val="false"/>
          <w:bCs w:val="false"/>
          <w:i/>
          <w:iCs/>
        </w:rPr>
        <w:t>Western Sydney University</w:t>
      </w:r>
    </w:p>
    <w:p>
      <w:pPr>
        <w:pStyle w:val="Subtitle"/>
        <w:rPr/>
      </w:pPr>
      <w:r>
        <w:rPr/>
        <w:t xml:space="preserve">Morgan, Elly </w:t>
      </w:r>
      <w:r>
        <w:rPr>
          <w:b w:val="false"/>
          <w:bCs w:val="false"/>
          <w:i/>
          <w:iCs/>
        </w:rPr>
        <w:t>Southern Adelaide Local Health Network</w:t>
      </w:r>
    </w:p>
    <w:p>
      <w:pPr>
        <w:pStyle w:val="Heading1"/>
        <w:rPr>
          <w:rFonts w:ascii="FreeSans" w:hAnsi="FreeSans"/>
        </w:rPr>
      </w:pPr>
      <w:r>
        <w:rPr/>
      </w:r>
    </w:p>
    <w:p>
      <w:pPr>
        <w:pStyle w:val="Heading1"/>
        <w:spacing w:before="0" w:after="0"/>
        <w:rPr/>
      </w:pPr>
      <w:r>
        <w:rPr/>
        <w:t>Introduction</w:t>
      </w:r>
    </w:p>
    <w:p>
      <w:pPr>
        <w:pStyle w:val="Normal"/>
        <w:spacing w:lineRule="auto" w:line="360" w:before="0" w:after="0"/>
        <w:jc w:val="both"/>
        <w:rPr>
          <w:rFonts w:ascii="FreeSans" w:hAnsi="FreeSans"/>
        </w:rPr>
      </w:pPr>
      <w:r>
        <w:rPr>
          <w:rFonts w:ascii="FreeSans" w:hAnsi="FreeSans"/>
        </w:rPr>
        <w:t xml:space="preserve">The use of participatory methodologies and research methods have demonstrated epistemological, theoretical, methodological, and practical value. Specifically, they can help to: ensure coherence with post-positivist orientations </w:t>
      </w:r>
      <w:r>
        <w:fldChar w:fldCharType="begin"/>
      </w:r>
      <w:r>
        <w:rPr>
          <w:rFonts w:ascii="FreeSans" w:hAnsi="FreeSans"/>
        </w:rPr>
        <w:instrText>ADDIN EN.CITE</w:instrText>
      </w:r>
      <w:r>
        <w:rPr>
          <w:rFonts w:ascii="FreeSans" w:hAnsi="FreeSans"/>
        </w:rPr>
        <w:fldChar w:fldCharType="separate"/>
      </w:r>
      <w:bookmarkStart w:id="0" w:name="__Fieldmark__21223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1" w:name="__Fieldmark__21222_2090204579"/>
      <w:bookmarkEnd w:id="0"/>
      <w:r>
        <w:rPr>
          <w:rFonts w:ascii="FreeSans" w:hAnsi="FreeSans"/>
        </w:rPr>
        <w:t>(Denzin and Lincoln 1998, Parry, Gnich et al. 2001)</w:t>
      </w:r>
      <w:r>
        <w:rPr>
          <w:rFonts w:ascii="FreeSans" w:hAnsi="FreeSans"/>
        </w:rPr>
      </w:r>
      <w:r>
        <w:rPr>
          <w:rFonts w:ascii="FreeSans" w:hAnsi="FreeSans"/>
        </w:rPr>
        <w:fldChar w:fldCharType="end"/>
      </w:r>
      <w:bookmarkEnd w:id="1"/>
      <w:r>
        <w:rPr>
          <w:rFonts w:ascii="FreeSans" w:hAnsi="FreeSans"/>
        </w:rPr>
        <w:t xml:space="preserve">; push theorising into different terrain </w:t>
      </w:r>
      <w:r>
        <w:fldChar w:fldCharType="begin"/>
      </w:r>
      <w:r>
        <w:rPr>
          <w:rFonts w:ascii="FreeSans" w:hAnsi="FreeSans"/>
        </w:rPr>
        <w:instrText>ADDIN EN.CITE</w:instrText>
      </w:r>
      <w:r>
        <w:rPr>
          <w:rFonts w:ascii="FreeSans" w:hAnsi="FreeSans"/>
        </w:rPr>
        <w:fldChar w:fldCharType="separate"/>
      </w:r>
      <w:bookmarkStart w:id="2" w:name="__Fieldmark__21231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3" w:name="__Fieldmark__21230_2090204579"/>
      <w:bookmarkEnd w:id="2"/>
      <w:r>
        <w:rPr>
          <w:rFonts w:ascii="FreeSans" w:hAnsi="FreeSans"/>
        </w:rPr>
        <w:t>(Toolis 2016, Kennelly 2018)</w:t>
      </w:r>
      <w:r>
        <w:rPr>
          <w:rFonts w:ascii="FreeSans" w:hAnsi="FreeSans"/>
        </w:rPr>
      </w:r>
      <w:r>
        <w:rPr>
          <w:rFonts w:ascii="FreeSans" w:hAnsi="FreeSans"/>
        </w:rPr>
        <w:fldChar w:fldCharType="end"/>
      </w:r>
      <w:bookmarkEnd w:id="3"/>
      <w:r>
        <w:rPr>
          <w:rFonts w:ascii="FreeSans" w:hAnsi="FreeSans"/>
        </w:rPr>
        <w:t xml:space="preserve">; enhance the ethical conduct of research and optimise the veracity of the data collected </w:t>
      </w:r>
      <w:r>
        <w:fldChar w:fldCharType="begin"/>
      </w:r>
      <w:r>
        <w:rPr>
          <w:rFonts w:ascii="FreeSans" w:hAnsi="FreeSans"/>
        </w:rPr>
        <w:instrText>ADDIN EN.CITE &lt;EndNote&gt;&lt;Cite&gt;&lt;Author&gt;Özerdem&lt;/Author&gt;&lt;Year&gt;2010&lt;/Year&gt;&lt;RecNum&gt;15532&lt;/RecNum&gt;&lt;DisplayText&gt;(Özerdem and Bowd 2010)&lt;/DisplayText&gt;&lt;record&gt;&lt;rec-number&gt;15532&lt;/rec-number&gt;&lt;foreign-keys&gt;&lt;key app="EN" db-id="tvawz2wwrwafv7e50wg5wxed5rpvxvp00eds" timestamp="1536539960"&gt;15532&lt;/key&gt;&lt;/foreign-keys&gt;&lt;ref-type name="Book Section"&gt;5&lt;/ref-type&gt;&lt;contributors&gt;&lt;authors&gt;&lt;author&gt;Özerdem, A.,&lt;/author&gt;&lt;author&gt;Bowd, R.,&lt;/author&gt;&lt;/authors&gt;&lt;secondary-authors&gt;&lt;author&gt;Özerdem, A.,&lt;/author&gt;&lt;author&gt;Bowd, R.,&lt;/author&gt;&lt;/secondary-authors&gt;&lt;/contributors&gt;&lt;titles&gt;&lt;title&gt;A theoretical and practical exposition of &amp;apos;participatory&amp;apos; research methods&lt;/title&gt;&lt;secondary-title&gt;Participatory research methodologies: Development and post-disaster/conflict reconstruction&lt;/secondary-title&gt;&lt;/titles&gt;&lt;pages&gt;1-20&lt;/pages&gt;&lt;keywords&gt;&lt;keyword&gt;Art&lt;/keyword&gt;&lt;keyword&gt;Dissemination&lt;/keyword&gt;&lt;keyword&gt;Evidence-based practice&lt;/keyword&gt;&lt;keyword&gt;Knowledge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2010&lt;/year&gt;&lt;/dates&gt;&lt;pub-location&gt;London&lt;/pub-location&gt;&lt;publisher&gt;Routledge&lt;/publisher&gt;&lt;urls&gt;&lt;/urls&gt;&lt;research-notes&gt;https://www.taylorfrancis.com/books/e/9781317083801/chapters/10.4324%2F9781315599519-7&amp;#xD;file:///C:/Users/Ann/Desktop/9781317083801_preview%20(1).pdf&lt;/research-notes&gt;&lt;/record&gt;&lt;/Cite&gt;&lt;/EndNote&gt;</w:instrText>
      </w:r>
      <w:r>
        <w:rPr>
          <w:rFonts w:ascii="FreeSans" w:hAnsi="FreeSans"/>
        </w:rPr>
        <w:fldChar w:fldCharType="separate"/>
      </w:r>
      <w:bookmarkStart w:id="4" w:name="__Fieldmark__21237_2090204579"/>
      <w:r>
        <w:rPr>
          <w:rFonts w:ascii="FreeSans" w:hAnsi="FreeSans"/>
        </w:rPr>
        <w:t>(Özerdem and Bowd 2010)</w:t>
      </w:r>
      <w:r>
        <w:rPr>
          <w:rFonts w:ascii="FreeSans" w:hAnsi="FreeSans"/>
        </w:rPr>
      </w:r>
      <w:r>
        <w:rPr>
          <w:rFonts w:ascii="FreeSans" w:hAnsi="FreeSans"/>
        </w:rPr>
        <w:fldChar w:fldCharType="end"/>
      </w:r>
      <w:bookmarkEnd w:id="4"/>
      <w:r>
        <w:rPr>
          <w:rFonts w:ascii="FreeSans" w:hAnsi="FreeSans"/>
        </w:rPr>
        <w:t xml:space="preserve">; inform the development of innovation </w:t>
      </w:r>
      <w:r>
        <w:fldChar w:fldCharType="begin"/>
      </w:r>
      <w:r>
        <w:rPr>
          <w:rFonts w:ascii="FreeSans" w:hAnsi="FreeSans"/>
        </w:rPr>
        <w:instrText>ADDIN EN.CITE &lt;EndNote&gt;&lt;Cite&gt;&lt;Author&gt;Orlowski&lt;/Author&gt;&lt;Year&gt;2015&lt;/Year&gt;&lt;RecNum&gt;13240&lt;/RecNum&gt;&lt;DisplayText&gt;(Orlowski, Lawn et al. 2015)&lt;/DisplayText&gt;&lt;record&gt;&lt;rec-number&gt;13240&lt;/rec-number&gt;&lt;foreign-keys&gt;&lt;key app="EN" db-id="tvawz2wwrwafv7e50wg5wxed5rpvxvp00eds" timestamp="1466579691"&gt;13240&lt;/key&gt;&lt;/foreign-keys&gt;&lt;ref-type name="Journal Article"&gt;17&lt;/ref-type&gt;&lt;contributors&gt;&lt;authors&gt;&lt;author&gt;Orlowski, S.K.,&lt;/author&gt;&lt;author&gt;Lawn, S.,&lt;/author&gt;&lt;author&gt;Venning, A.,&lt;/author&gt;&lt;author&gt;Winsall, M.,&lt;/author&gt;&lt;author&gt;Jones, G.M.,&lt;/author&gt;&lt;author&gt;Wyld, K.,&lt;/author&gt;&lt;author&gt;Damarell, R.A.,&lt;/author&gt;&lt;author&gt;Antezana, G.,&lt;/author&gt;&lt;author&gt;Schrader, G.,&lt;/author&gt;&lt;author&gt;Smith, D.,&lt;/author&gt;&lt;author&gt;Collin, P.,&lt;/author&gt;&lt;author&gt;Bidargaddi, N.,&lt;/author&gt;&lt;/authors&gt;&lt;/contributors&gt;&lt;titles&gt;&lt;title&gt;Participatory research as one piece of the puzzle: A systematic review of consumer involvement in design of technology-based youth mental health and well-being interventions&lt;/title&gt;&lt;secondary-title&gt;JMIR Human Factors&lt;/secondary-title&gt;&lt;/titles&gt;&lt;periodical&gt;&lt;full-title&gt;JMIR Human Factors&lt;/full-title&gt;&lt;/periodical&gt;&lt;pages&gt;e12&lt;/pages&gt;&lt;volume&gt;2&lt;/volume&gt;&lt;number&gt;2&lt;/number&gt;&lt;keywords&gt;&lt;keyword&gt;Adolescents&lt;/keyword&gt;&lt;keyword&gt;Evidence-based practice&lt;/keyword&gt;&lt;keyword&gt;Evaluation&lt;/keyword&gt;&lt;keyword&gt;Exclusion&lt;/keyword&gt;&lt;keyword&gt;Internet&lt;/keyword&gt;&lt;keyword&gt;Mental health&lt;/keyword&gt;&lt;keyword&gt;Methodology&lt;/keyword&gt;&lt;keyword&gt;Participation&lt;/keyword&gt;&lt;keyword&gt;Peer researchers&lt;/keyword&gt;&lt;keyword&gt;Research design&lt;/keyword&gt;&lt;keyword&gt;Technology&lt;/keyword&gt;&lt;keyword&gt;Wellbeing&lt;/keyword&gt;&lt;keyword&gt;YAW CRC&lt;/keyword&gt;&lt;keyword&gt;Young people&lt;/keyword&gt;&lt;/keywords&gt;&lt;dates&gt;&lt;year&gt;2015&lt;/year&gt;&lt;pub-dates&gt;&lt;date&gt;Jul.-Dec.&lt;/date&gt;&lt;/pub-dates&gt;&lt;/dates&gt;&lt;urls&gt;&lt;/urls&gt;&lt;research-notes&gt;http://www.ncbi.nlm.nih.gov/pmc/articles/PMC4797690/&lt;/research-notes&gt;&lt;/record&gt;&lt;/Cite&gt;&lt;/EndNote&gt;</w:instrText>
      </w:r>
      <w:r>
        <w:rPr>
          <w:rFonts w:ascii="FreeSans" w:hAnsi="FreeSans"/>
        </w:rPr>
        <w:fldChar w:fldCharType="separate"/>
      </w:r>
      <w:bookmarkStart w:id="5" w:name="__Fieldmark__21243_2090204579"/>
      <w:r>
        <w:rPr>
          <w:rFonts w:ascii="FreeSans" w:hAnsi="FreeSans"/>
        </w:rPr>
        <w:t>(Orlowski, Lawn et al. 2015)</w:t>
      </w:r>
      <w:r>
        <w:rPr>
          <w:rFonts w:ascii="FreeSans" w:hAnsi="FreeSans"/>
        </w:rPr>
      </w:r>
      <w:r>
        <w:rPr>
          <w:rFonts w:ascii="FreeSans" w:hAnsi="FreeSans"/>
        </w:rPr>
        <w:fldChar w:fldCharType="end"/>
      </w:r>
      <w:bookmarkEnd w:id="5"/>
      <w:r>
        <w:rPr>
          <w:rFonts w:ascii="FreeSans" w:hAnsi="FreeSans"/>
        </w:rPr>
        <w:t xml:space="preserve">; and increase the likelihood that findings are of value to, and readily translatable for those who have a stake in the issue under investigation </w:t>
      </w:r>
      <w:r>
        <w:fldChar w:fldCharType="begin"/>
      </w:r>
      <w:r>
        <w:rPr>
          <w:rFonts w:ascii="FreeSans" w:hAnsi="FreeSans"/>
        </w:rPr>
        <w:instrText>ADDIN EN.CITE &lt;EndNote&gt;&lt;Cite&gt;&lt;Author&gt;Benjamin-Thomas&lt;/Author&gt;&lt;Year&gt;2018&lt;/Year&gt;&lt;RecNum&gt;15533&lt;/RecNum&gt;&lt;DisplayText&gt;(Benjamin-Thomas, Laliberte Rudman et al. 2018)&lt;/DisplayText&gt;&lt;record&gt;&lt;rec-number&gt;15533&lt;/rec-number&gt;&lt;foreign-keys&gt;&lt;key app="EN" db-id="tvawz2wwrwafv7e50wg5wxed5rpvxvp00eds" timestamp="1536540957"&gt;15533&lt;/key&gt;&lt;/foreign-keys&gt;&lt;ref-type name="Journal Article"&gt;17&lt;/ref-type&gt;&lt;contributors&gt;&lt;authors&gt;&lt;author&gt;Benjamin-Thomas, T.E.,&lt;/author&gt;&lt;author&gt;Laliberte Rudman, D.,&lt;/author&gt;&lt;author&gt;Cameron, D.,&lt;/author&gt;&lt;author&gt;Batorowicz, B.,&lt;/author&gt;&lt;/authors&gt;&lt;/contributors&gt;&lt;titles&gt;&lt;title&gt;Participatory digital methodologies: Potential of three approaches for advancing transformative occupation-based research with children and youth&lt;/title&gt;&lt;secondary-title&gt;Journal of Occupational Science&lt;/secondary-title&gt;&lt;/titles&gt;&lt;periodical&gt;&lt;full-title&gt;Journal of Occupational Science&lt;/full-title&gt;&lt;/periodical&gt;&lt;pages&gt;1-16&lt;/pages&gt;&lt;volume&gt;Epub-ahead-of-print&lt;/volume&gt;&lt;keywords&gt;&lt;keyword&gt;Adolescents&lt;/keyword&gt;&lt;keyword&gt;Evidence-based practice&lt;/keyword&gt;&lt;keyword&gt;Evaluation&lt;/keyword&gt;&lt;keyword&gt;Exclusion&lt;/keyword&gt;&lt;keyword&gt;Internet&lt;/keyword&gt;&lt;keyword&gt;Mental health&lt;/keyword&gt;&lt;keyword&gt;Methodology&lt;/keyword&gt;&lt;keyword&gt;Participation&lt;/keyword&gt;&lt;keyword&gt;Peer researchers&lt;/keyword&gt;&lt;keyword&gt;Research design&lt;/keyword&gt;&lt;keyword&gt;Technology&lt;/keyword&gt;&lt;keyword&gt;Wellbeing&lt;/keyword&gt;&lt;keyword&gt;YAW CRC&lt;/keyword&gt;&lt;keyword&gt;Young people&lt;/keyword&gt;&lt;/keywords&gt;&lt;dates&gt;&lt;year&gt;2018&lt;/year&gt;&lt;/dates&gt;&lt;urls&gt;&lt;/urls&gt;&lt;research-notes&gt;https://www-tandfonline-com.ezproxy.uws.edu.au/doi/abs/10.1080/14427591.2018.1512054&amp;#xD;https://www-tandfonline-com.ezproxy.uws.edu.au/doi/pdf/10.1080/14427591.2018.1512054?needAccess=true&lt;/research-notes&gt;&lt;/record&gt;&lt;/Cite&gt;&lt;/EndNote&gt;</w:instrText>
      </w:r>
      <w:r>
        <w:rPr>
          <w:rFonts w:ascii="FreeSans" w:hAnsi="FreeSans"/>
        </w:rPr>
        <w:fldChar w:fldCharType="separate"/>
      </w:r>
      <w:bookmarkStart w:id="6" w:name="__Fieldmark__21251_2090204579"/>
      <w:r>
        <w:rPr>
          <w:rFonts w:ascii="FreeSans" w:hAnsi="FreeSans"/>
        </w:rPr>
        <w:t>(Benjamin-Thomas, Laliberte Rudman et al. 2018)</w:t>
      </w:r>
      <w:r>
        <w:rPr>
          <w:rFonts w:ascii="FreeSans" w:hAnsi="FreeSans"/>
        </w:rPr>
      </w:r>
      <w:r>
        <w:rPr>
          <w:rFonts w:ascii="FreeSans" w:hAnsi="FreeSans"/>
        </w:rPr>
        <w:fldChar w:fldCharType="end"/>
      </w:r>
      <w:bookmarkEnd w:id="6"/>
      <w:r>
        <w:rPr>
          <w:rFonts w:ascii="FreeSans" w:hAnsi="FreeSans"/>
        </w:rPr>
        <w:t>.</w:t>
      </w:r>
    </w:p>
    <w:p>
      <w:pPr>
        <w:pStyle w:val="Normal"/>
        <w:spacing w:lineRule="auto" w:line="360" w:before="285" w:after="285"/>
        <w:jc w:val="both"/>
        <w:rPr>
          <w:rFonts w:ascii="FreeSans" w:hAnsi="FreeSans"/>
        </w:rPr>
      </w:pPr>
      <w:r>
        <w:rPr>
          <w:rFonts w:ascii="FreeSans" w:hAnsi="FreeSans"/>
        </w:rPr>
        <w:t xml:space="preserve">Although participatory methodologies and research methods make sense for these (and perhaps other) reasons, they are typically used with participants who have the (assumed) capacity to indicate and negotiate informed consent. Consider for instance, the use of: peer research with young people </w:t>
      </w:r>
      <w:r>
        <w:fldChar w:fldCharType="begin"/>
      </w:r>
      <w:r>
        <w:rPr>
          <w:rFonts w:ascii="FreeSans" w:hAnsi="FreeSans"/>
        </w:rPr>
        <w:instrText>ADDIN EN.CITE &lt;EndNote&gt;&lt;Cite&gt;&lt;Author&gt;Porter&lt;/Author&gt;&lt;Year&gt;2017&lt;/Year&gt;&lt;RecNum&gt;15501&lt;/RecNum&gt;&lt;DisplayText&gt;(Porter, Hampshire et al. 2017)&lt;/DisplayText&gt;&lt;record&gt;&lt;rec-number&gt;15501&lt;/rec-number&gt;&lt;foreign-keys&gt;&lt;key app="EN" db-id="tvawz2wwrwafv7e50wg5wxed5rpvxvp00eds" timestamp="1536304534"&gt;15501&lt;/key&gt;&lt;/foreign-keys&gt;&lt;ref-type name="Book"&gt;6&lt;/ref-type&gt;&lt;contributors&gt;&lt;authors&gt;&lt;author&gt;Porter, G.,&lt;/author&gt;&lt;author&gt;Hampshire, K.,&lt;/author&gt;&lt;author&gt;Abane, A.,&lt;/author&gt;&lt;author&gt;Munthali, A.,&lt;/author&gt;&lt;author&gt;Robson, E.,&lt;/author&gt;&lt;author&gt;Mashiri, M.,&lt;/author&gt;&lt;/authors&gt;&lt;/contributors&gt;&lt;titles&gt;&lt;title&gt;Young people&amp;apos;s daily mobilities in Sub-Saharan Africa: Moving young lives&lt;/title&gt;&lt;tertiary-title&gt;Anthropology, change, and development&lt;/tertiary-title&gt;&lt;/titles&gt;&lt;keywords&gt;&lt;keyword&gt;Adolescents&lt;/keyword&gt;&lt;keyword&gt;Children&lt;/keyword&gt;&lt;keyword&gt;Participatory action research&lt;/keyword&gt;&lt;keyword&gt;Young people&lt;/keyword&gt;&lt;/keywords&gt;&lt;dates&gt;&lt;year&gt;2017&lt;/year&gt;&lt;/dates&gt;&lt;pub-location&gt;New York, NY&lt;/pub-location&gt;&lt;publisher&gt;Palgrave Macmillan&lt;/publisher&gt;&lt;urls&gt;&lt;/urls&gt;&lt;research-notes&gt;https://link.springer.com/chapter/10.1057/978-1-137-45431-7_2&amp;#xD;https://books.google.com.au/books/about/Young_People_s_Daily_Mobilities_in_Sub_S.html?id=pJ-YDQAAQBAJ&amp;amp;redir_esc=y&lt;/research-notes&gt;&lt;/record&gt;&lt;/Cite&gt;&lt;/EndNote&gt;</w:instrText>
      </w:r>
      <w:r>
        <w:rPr>
          <w:rFonts w:ascii="FreeSans" w:hAnsi="FreeSans"/>
        </w:rPr>
        <w:fldChar w:fldCharType="separate"/>
      </w:r>
      <w:bookmarkStart w:id="7" w:name="__Fieldmark__21258_2090204579"/>
      <w:r>
        <w:rPr>
          <w:rFonts w:ascii="FreeSans" w:hAnsi="FreeSans"/>
        </w:rPr>
        <w:t>(Porter, Hampshire et al. 2017)</w:t>
      </w:r>
      <w:r>
        <w:rPr>
          <w:rFonts w:ascii="FreeSans" w:hAnsi="FreeSans"/>
        </w:rPr>
      </w:r>
      <w:r>
        <w:rPr>
          <w:rFonts w:ascii="FreeSans" w:hAnsi="FreeSans"/>
        </w:rPr>
        <w:fldChar w:fldCharType="end"/>
      </w:r>
      <w:bookmarkEnd w:id="7"/>
      <w:r>
        <w:rPr>
          <w:rFonts w:ascii="FreeSans" w:hAnsi="FreeSans"/>
        </w:rPr>
        <w:t xml:space="preserve">; photovoice with people with diverse literacies </w:t>
      </w:r>
      <w:r>
        <w:fldChar w:fldCharType="begin"/>
      </w:r>
      <w:r>
        <w:rPr>
          <w:rFonts w:ascii="FreeSans" w:hAnsi="FreeSans"/>
        </w:rPr>
        <w:instrText>ADDIN EN.CITE</w:instrText>
      </w:r>
      <w:r>
        <w:rPr>
          <w:rFonts w:ascii="FreeSans" w:hAnsi="FreeSans"/>
        </w:rPr>
        <w:fldChar w:fldCharType="separate"/>
      </w:r>
      <w:bookmarkStart w:id="8" w:name="__Fieldmark__21268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9" w:name="__Fieldmark__21267_2090204579"/>
      <w:bookmarkEnd w:id="8"/>
      <w:r>
        <w:rPr>
          <w:rFonts w:ascii="FreeSans" w:hAnsi="FreeSans"/>
        </w:rPr>
        <w:t>(Krutt, Dyer et al. 2018, Overmars-Marx, Thomése et al. 2018, Yoshihama and Yunomae 2018)</w:t>
      </w:r>
      <w:r>
        <w:rPr>
          <w:rFonts w:ascii="FreeSans" w:hAnsi="FreeSans"/>
        </w:rPr>
      </w:r>
      <w:r>
        <w:rPr>
          <w:rFonts w:ascii="FreeSans" w:hAnsi="FreeSans"/>
        </w:rPr>
        <w:fldChar w:fldCharType="end"/>
      </w:r>
      <w:bookmarkEnd w:id="9"/>
      <w:r>
        <w:rPr>
          <w:rFonts w:ascii="FreeSans" w:hAnsi="FreeSans"/>
        </w:rPr>
        <w:t xml:space="preserve">; art with people who experience mental health issues </w:t>
      </w:r>
      <w:r>
        <w:fldChar w:fldCharType="begin"/>
      </w:r>
      <w:r>
        <w:rPr>
          <w:rFonts w:ascii="FreeSans" w:hAnsi="FreeSans"/>
        </w:rPr>
        <w:instrText>ADDIN EN.CITE &lt;EndNote&gt;&lt;Cite&gt;&lt;Author&gt;McCaffrey&lt;/Author&gt;&lt;Year&gt;2015&lt;/Year&gt;&lt;RecNum&gt;15507&lt;/RecNum&gt;&lt;DisplayText&gt;(McCaffrey and Edwards 2015)&lt;/DisplayText&gt;&lt;record&gt;&lt;rec-number&gt;15507&lt;/rec-number&gt;&lt;foreign-keys&gt;&lt;key app="EN" db-id="tvawz2wwrwafv7e50wg5wxed5rpvxvp00eds" timestamp="1536307032"&gt;15507&lt;/key&gt;&lt;/foreign-keys&gt;&lt;ref-type name="Journal Article"&gt;17&lt;/ref-type&gt;&lt;contributors&gt;&lt;authors&gt;&lt;author&gt;McCaffrey, T.,&lt;/author&gt;&lt;author&gt;Edwards, J.,&lt;/author&gt;&lt;/authors&gt;&lt;/contributors&gt;&lt;titles&gt;&lt;title&gt;Meeting art with art: Arts-based methods enhance researcher reflexivity in research with mental health service users&lt;/title&gt;&lt;secondary-title&gt;Journal of Music Therapy&lt;/secondary-title&gt;&lt;/titles&gt;&lt;periodical&gt;&lt;full-title&gt;Journal of Music Therapy&lt;/full-title&gt;&lt;abbr-1&gt;J. Music Ther.&lt;/abbr-1&gt;&lt;abbr-2&gt;J Music Ther&lt;/abbr-2&gt;&lt;/periodical&gt;&lt;pages&gt;515-532&lt;/pages&gt;&lt;volume&gt;52&lt;/volume&gt;&lt;number&gt;4&lt;/number&gt;&lt;keywords&gt;&lt;keyword&gt;Art&lt;/keyword&gt;&lt;keyword&gt;Dissemination&lt;/keyword&gt;&lt;keyword&gt;Evidence-based practice&lt;/keyword&gt;&lt;keyword&gt;Health&lt;/keyword&gt;&lt;keyword&gt;Media&lt;/keyword&gt;&lt;keyword&gt;Theatre&lt;/keyword&gt;&lt;keyword&gt;Translation&lt;/keyword&gt;&lt;keyword&gt;Visual&lt;/keyword&gt;&lt;/keywords&gt;&lt;dates&gt;&lt;year&gt;2015&lt;/year&gt;&lt;pub-dates&gt;&lt;date&gt;Winter&lt;/date&gt;&lt;/pub-dates&gt;&lt;/dates&gt;&lt;urls&gt;&lt;/urls&gt;&lt;research-notes&gt;https://www.ncbi.nlm.nih.gov/pubmed/26705349&lt;/research-notes&gt;&lt;/record&gt;&lt;/Cite&gt;&lt;/EndNote&gt;</w:instrText>
      </w:r>
      <w:r>
        <w:rPr>
          <w:rFonts w:ascii="FreeSans" w:hAnsi="FreeSans"/>
        </w:rPr>
        <w:fldChar w:fldCharType="separate"/>
      </w:r>
      <w:bookmarkStart w:id="10" w:name="__Fieldmark__21274_2090204579"/>
      <w:r>
        <w:rPr>
          <w:rFonts w:ascii="FreeSans" w:hAnsi="FreeSans"/>
        </w:rPr>
        <w:t>(McCaffrey and Edwards 2015)</w:t>
      </w:r>
      <w:r>
        <w:rPr>
          <w:rFonts w:ascii="FreeSans" w:hAnsi="FreeSans"/>
        </w:rPr>
      </w:r>
      <w:r>
        <w:rPr>
          <w:rFonts w:ascii="FreeSans" w:hAnsi="FreeSans"/>
        </w:rPr>
        <w:fldChar w:fldCharType="end"/>
      </w:r>
      <w:bookmarkEnd w:id="10"/>
      <w:r>
        <w:rPr>
          <w:rFonts w:ascii="FreeSans" w:hAnsi="FreeSans"/>
        </w:rPr>
        <w:t xml:space="preserve">; play with children </w:t>
      </w:r>
      <w:r>
        <w:fldChar w:fldCharType="begin"/>
      </w:r>
      <w:r>
        <w:rPr>
          <w:rFonts w:ascii="FreeSans" w:hAnsi="FreeSans"/>
        </w:rPr>
        <w:instrText>ADDIN EN.CITE</w:instrText>
      </w:r>
      <w:r>
        <w:rPr>
          <w:rFonts w:ascii="FreeSans" w:hAnsi="FreeSans"/>
        </w:rPr>
        <w:fldChar w:fldCharType="separate"/>
      </w:r>
      <w:bookmarkStart w:id="11" w:name="__Fieldmark__21282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12" w:name="__Fieldmark__21281_2090204579"/>
      <w:bookmarkEnd w:id="11"/>
      <w:r>
        <w:rPr>
          <w:rFonts w:ascii="FreeSans" w:hAnsi="FreeSans"/>
        </w:rPr>
        <w:t>(Patte and Sutterby 2016, Smith 2018)</w:t>
      </w:r>
      <w:r>
        <w:rPr>
          <w:rFonts w:ascii="FreeSans" w:hAnsi="FreeSans"/>
        </w:rPr>
      </w:r>
      <w:r>
        <w:rPr>
          <w:rFonts w:ascii="FreeSans" w:hAnsi="FreeSans"/>
        </w:rPr>
        <w:fldChar w:fldCharType="end"/>
      </w:r>
      <w:bookmarkEnd w:id="12"/>
      <w:r>
        <w:rPr>
          <w:rFonts w:ascii="FreeSans" w:hAnsi="FreeSans"/>
        </w:rPr>
        <w:t xml:space="preserve">; and theatre with current and future healthcare personnel </w:t>
      </w:r>
      <w:r>
        <w:fldChar w:fldCharType="begin"/>
      </w:r>
      <w:r>
        <w:rPr>
          <w:rFonts w:ascii="FreeSans" w:hAnsi="FreeSans"/>
        </w:rPr>
        <w:instrText>ADDIN EN.CITE</w:instrText>
      </w:r>
      <w:r>
        <w:rPr>
          <w:rFonts w:ascii="FreeSans" w:hAnsi="FreeSans"/>
        </w:rPr>
        <w:fldChar w:fldCharType="separate"/>
      </w:r>
      <w:bookmarkStart w:id="13" w:name="__Fieldmark__21290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14" w:name="__Fieldmark__21289_2090204579"/>
      <w:bookmarkEnd w:id="13"/>
      <w:r>
        <w:rPr>
          <w:rFonts w:ascii="FreeSans" w:hAnsi="FreeSans"/>
        </w:rPr>
        <w:t>(Schneider, Lowe et al. 2014, Brown, Ramsay et al. 2018)</w:t>
      </w:r>
      <w:r>
        <w:rPr>
          <w:rFonts w:ascii="FreeSans" w:hAnsi="FreeSans"/>
        </w:rPr>
      </w:r>
      <w:r>
        <w:rPr>
          <w:rFonts w:ascii="FreeSans" w:hAnsi="FreeSans"/>
        </w:rPr>
        <w:fldChar w:fldCharType="end"/>
      </w:r>
      <w:bookmarkEnd w:id="14"/>
      <w:r>
        <w:rPr>
          <w:rFonts w:ascii="FreeSans" w:hAnsi="FreeSans"/>
        </w:rPr>
        <w:t>. Although a review of these studies is beyond the scope of this article, they collectively highlight the potential, as well as the challenges of participatory methodologies and research methods.</w:t>
      </w:r>
    </w:p>
    <w:p>
      <w:pPr>
        <w:pStyle w:val="Normal"/>
        <w:spacing w:lineRule="auto" w:line="360" w:before="285" w:after="285"/>
        <w:rPr>
          <w:rFonts w:ascii="FreeSans" w:hAnsi="FreeSans"/>
        </w:rPr>
      </w:pPr>
      <w:r>
        <w:rPr>
          <w:rFonts w:ascii="FreeSans" w:hAnsi="FreeSans"/>
        </w:rPr>
        <w:t xml:space="preserve">A cohort seldom involved in participatory research is people with dementia and/or delirium, particularly those in hospital. With few exceptions, there are limited empirical studies that aim to engage people with dementia and/or delirium while in hospital, their carers, or the clinicians who support them, as co-researchers, rather than as mere ‘research subjects’ </w:t>
      </w:r>
      <w:r>
        <w:fldChar w:fldCharType="begin"/>
      </w:r>
      <w:r>
        <w:rPr>
          <w:rFonts w:ascii="FreeSans" w:hAnsi="FreeSans"/>
        </w:rPr>
        <w:instrText>ADDIN EN.CITE &lt;EndNote&gt;&lt;Cite&gt;&lt;Author&gt;Di Lorito&lt;/Author&gt;&lt;Year&gt;2017&lt;/Year&gt;&lt;RecNum&gt;14845&lt;/RecNum&gt;&lt;DisplayText&gt;(Di Lorito, Birt et al. 2017)&lt;/DisplayText&gt;&lt;record&gt;&lt;rec-number&gt;14845&lt;/rec-number&gt;&lt;foreign-keys&gt;&lt;key app="EN" db-id="tvawz2wwrwafv7e50wg5wxed5rpvxvp00eds" timestamp="1518574630"&gt;14845&lt;/key&gt;&lt;/foreign-keys&gt;&lt;ref-type name="Journal Article"&gt;17&lt;/ref-type&gt;&lt;contributors&gt;&lt;authors&gt;&lt;author&gt;Di Lorito, C.,&lt;/author&gt;&lt;author&gt;Birt, L.,&lt;/author&gt;&lt;author&gt;Poland, F.,&lt;/author&gt;&lt;author&gt;Csipke, E.,&lt;/author&gt;&lt;author&gt;Gove, D.,&lt;/author&gt;&lt;author&gt;Diaz-Ponce, A.,&lt;/author&gt;&lt;author&gt;Orrell, M.,&lt;/author&gt;&lt;/authors&gt;&lt;/contributors&gt;&lt;titles&gt;&lt;title&gt;A synthesis of the evidence on peer research with potentially vulnerable adults: How this relates to dementia&lt;/title&gt;&lt;secondary-title&gt;International Journal of Geriatric Psychiatry&lt;/secondary-title&gt;&lt;/titles&gt;&lt;periodical&gt;&lt;full-title&gt;International Journal of Geriatric Psychiatry&lt;/full-title&gt;&lt;/periodical&gt;&lt;pages&gt;58-67&lt;/pages&gt;&lt;volume&gt;32&lt;/volume&gt;&lt;number&gt;1&lt;/number&gt;&lt;keywords&gt;&lt;keyword&gt;Chronic disease&lt;/keyword&gt;&lt;keyword&gt;Data analysis&lt;/keyword&gt;&lt;keyword&gt;Dementia&lt;/keyword&gt;&lt;keyword&gt;Epistemology&lt;/keyword&gt;&lt;keyword&gt;Healthy Workers Project&lt;/keyword&gt;&lt;keyword&gt;Methodology&lt;/keyword&gt;&lt;keyword&gt;Participatory action research&lt;/keyword&gt;&lt;keyword&gt;Research methods&lt;/keyword&gt;&lt;keyword&gt;Vulnerability&lt;/keyword&gt;&lt;/keywords&gt;&lt;dates&gt;&lt;year&gt;2017&lt;/year&gt;&lt;/dates&gt;&lt;urls&gt;&lt;/urls&gt;&lt;research-notes&gt;http://onlinelibrary.wiley.com.ezproxy.uws.edu.au/doi/10.1002/gps.4577/full&lt;/research-notes&gt;&lt;/record&gt;&lt;/Cite&gt;&lt;/EndNote&gt;</w:instrText>
      </w:r>
      <w:r>
        <w:rPr>
          <w:rFonts w:ascii="FreeSans" w:hAnsi="FreeSans"/>
        </w:rPr>
        <w:fldChar w:fldCharType="separate"/>
      </w:r>
      <w:bookmarkStart w:id="15" w:name="__Fieldmark__21316_2090204579"/>
      <w:r>
        <w:rPr>
          <w:rFonts w:ascii="FreeSans" w:hAnsi="FreeSans"/>
        </w:rPr>
        <w:t>(Di Lorito, Birt et al. 2017)</w:t>
      </w:r>
      <w:r>
        <w:rPr>
          <w:rFonts w:ascii="FreeSans" w:hAnsi="FreeSans"/>
        </w:rPr>
      </w:r>
      <w:r>
        <w:rPr>
          <w:rFonts w:ascii="FreeSans" w:hAnsi="FreeSans"/>
        </w:rPr>
        <w:fldChar w:fldCharType="end"/>
      </w:r>
      <w:bookmarkEnd w:id="15"/>
      <w:r>
        <w:rPr>
          <w:rFonts w:ascii="FreeSans" w:hAnsi="FreeSans"/>
        </w:rPr>
        <w:t xml:space="preserve">. For instance, in their use of participatory action research to improve delirium care within a hospital, Day and colleagues </w:t>
      </w:r>
      <w:r>
        <w:fldChar w:fldCharType="begin"/>
      </w:r>
      <w:r>
        <w:rPr>
          <w:rFonts w:ascii="FreeSans" w:hAnsi="FreeSans"/>
        </w:rPr>
        <w:instrText>ADDIN EN.CITE &lt;EndNote&gt;&lt;Cite ExcludeAuth="1"&gt;&lt;Author&gt;Day&lt;/Author&gt;&lt;Year&gt;2009&lt;/Year&gt;&lt;RecNum&gt;15540&lt;/RecNum&gt;&lt;DisplayText&gt;(2009)&lt;/DisplayText&gt;&lt;record&gt;&lt;rec-number&gt;15540&lt;/rec-number&gt;&lt;foreign-keys&gt;&lt;key app="EN" db-id="tvawz2wwrwafv7e50wg5wxed5rpvxvp00eds" timestamp="1536546688"&gt;15540&lt;/key&gt;&lt;/foreign-keys&gt;&lt;ref-type name="Journal Article"&gt;17&lt;/ref-type&gt;&lt;contributors&gt;&lt;authors&gt;&lt;author&gt;Day, J.,&lt;/author&gt;&lt;author&gt;Higgins, I.,&lt;/author&gt;&lt;author&gt;Koch, T.,&lt;/author&gt;&lt;/authors&gt;&lt;/contributors&gt;&lt;titles&gt;&lt;title&gt;The process of practice redesign in delirium care for hospitalised older people: A participatory action research study&lt;/title&gt;&lt;secondary-title&gt;International Journal of Nursing Studies&lt;/secondary-title&gt;&lt;/titles&gt;&lt;periodical&gt;&lt;full-title&gt;International Journal of Nursing Studies&lt;/full-title&gt;&lt;/periodical&gt;&lt;pages&gt;13-22&lt;/pages&gt;&lt;volume&gt;46&lt;/volume&gt;&lt;number&gt;1&lt;/number&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2009&lt;/year&gt;&lt;pub-dates&gt;&lt;date&gt;Jan.&lt;/date&gt;&lt;/pub-dates&gt;&lt;/dates&gt;&lt;urls&gt;&lt;/urls&gt;&lt;research-notes&gt;http://journals.sagepub.com.ezproxy.uws.edu.au/doi/abs/10.1177/1471301217748503&lt;/research-notes&gt;&lt;/record&gt;&lt;/Cite&gt;&lt;/EndNote&gt;</w:instrText>
      </w:r>
      <w:r>
        <w:rPr>
          <w:rFonts w:ascii="FreeSans" w:hAnsi="FreeSans"/>
        </w:rPr>
        <w:fldChar w:fldCharType="separate"/>
      </w:r>
      <w:bookmarkStart w:id="16" w:name="__Fieldmark__21323_2090204579"/>
      <w:r>
        <w:rPr>
          <w:rFonts w:ascii="FreeSans" w:hAnsi="FreeSans"/>
        </w:rPr>
        <w:t>(2009)</w:t>
      </w:r>
      <w:r>
        <w:rPr>
          <w:rFonts w:ascii="FreeSans" w:hAnsi="FreeSans"/>
        </w:rPr>
      </w:r>
      <w:r>
        <w:rPr>
          <w:rFonts w:ascii="FreeSans" w:hAnsi="FreeSans"/>
        </w:rPr>
        <w:fldChar w:fldCharType="end"/>
      </w:r>
      <w:bookmarkEnd w:id="16"/>
      <w:r>
        <w:rPr>
          <w:rFonts w:ascii="FreeSans" w:hAnsi="FreeSans"/>
        </w:rPr>
        <w:t xml:space="preserve"> solely collaborated with ‘Eight volunteer clinicians’. Although Godfrey and colleagues </w:t>
      </w:r>
      <w:r>
        <w:fldChar w:fldCharType="begin"/>
      </w:r>
      <w:r>
        <w:rPr>
          <w:rFonts w:ascii="FreeSans" w:hAnsi="FreeSans"/>
        </w:rPr>
        <w:instrText>ADDIN EN.CITE &lt;EndNote&gt;&lt;Cite ExcludeAuth="1"&gt;&lt;Author&gt;Godfrey&lt;/Author&gt;&lt;Year&gt;2013&lt;/Year&gt;&lt;RecNum&gt;15534&lt;/RecNum&gt;&lt;DisplayText&gt;(2013)&lt;/DisplayText&gt;&lt;record&gt;&lt;rec-number&gt;15534&lt;/rec-number&gt;&lt;foreign-keys&gt;&lt;key app="EN" db-id="tvawz2wwrwafv7e50wg5wxed5rpvxvp00eds" timestamp="1536542705"&gt;15534&lt;/key&gt;&lt;/foreign-keys&gt;&lt;ref-type name="Journal Article"&gt;17&lt;/ref-type&gt;&lt;contributors&gt;&lt;authors&gt;&lt;author&gt;Godfrey, M.,&lt;/author&gt;&lt;author&gt;Smith, J.,&lt;/author&gt;&lt;author&gt;Green, J.,&lt;/author&gt;&lt;author&gt;Cheater, F.,&lt;/author&gt;&lt;author&gt;Inouye, S.K.,&lt;/author&gt;&lt;author&gt;Young, J.B.,&lt;/author&gt;&lt;/authors&gt;&lt;/contributors&gt;&lt;titles&gt;&lt;title&gt;Developing and implementing an integrated delirium prevention system of care: A theory driven, participatory research study&lt;/title&gt;&lt;secondary-title&gt;BMC Health Services Research&lt;/secondary-title&gt;&lt;/titles&gt;&lt;periodical&gt;&lt;full-title&gt;BMC Health Services Research&lt;/full-title&gt;&lt;/periodical&gt;&lt;pages&gt;1-15&lt;/pages&gt;&lt;volume&gt;13&lt;/volume&gt;&lt;number&gt;341&lt;/number&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2013&lt;/year&gt;&lt;/dates&gt;&lt;urls&gt;&lt;/urls&gt;&lt;research-notes&gt;https://bmchealthservres.biomedcentral.com/track/pdf/10.1186/1472-6963-13-341&lt;/research-notes&gt;&lt;/record&gt;&lt;/Cite&gt;&lt;/EndNote&gt;</w:instrText>
      </w:r>
      <w:r>
        <w:rPr>
          <w:rFonts w:ascii="FreeSans" w:hAnsi="FreeSans"/>
        </w:rPr>
        <w:fldChar w:fldCharType="separate"/>
      </w:r>
      <w:bookmarkStart w:id="17" w:name="__Fieldmark__21328_2090204579"/>
      <w:r>
        <w:rPr>
          <w:rFonts w:ascii="FreeSans" w:hAnsi="FreeSans"/>
        </w:rPr>
        <w:t>(2013)</w:t>
      </w:r>
      <w:r>
        <w:rPr>
          <w:rFonts w:ascii="FreeSans" w:hAnsi="FreeSans"/>
        </w:rPr>
      </w:r>
      <w:r>
        <w:rPr>
          <w:rFonts w:ascii="FreeSans" w:hAnsi="FreeSans"/>
        </w:rPr>
        <w:fldChar w:fldCharType="end"/>
      </w:r>
      <w:bookmarkEnd w:id="17"/>
      <w:r>
        <w:rPr>
          <w:rFonts w:ascii="FreeSans" w:hAnsi="FreeSans"/>
        </w:rPr>
        <w:t xml:space="preserve"> involved ‘patient and carer representatives’ in their use of participatory action research to develop a delirium prevention system of care, there was limited discussion on how or why these ‘representatives’ were involved, as opposed to others. And in describing their participatory projects, Hendriks and colleagues </w:t>
      </w:r>
      <w:r>
        <w:fldChar w:fldCharType="begin"/>
      </w:r>
      <w:r>
        <w:rPr>
          <w:rFonts w:ascii="FreeSans" w:hAnsi="FreeSans"/>
        </w:rPr>
        <w:instrText>ADDIN EN.CITE &lt;EndNote&gt;&lt;Cite ExcludeAuth="1"&gt;&lt;Author&gt;Hendriks&lt;/Author&gt;&lt;Year&gt;2014&lt;/Year&gt;&lt;RecNum&gt;15545&lt;/RecNum&gt;&lt;Pages&gt;35&lt;/Pages&gt;&lt;DisplayText&gt;(2014)&lt;/DisplayText&gt;&lt;record&gt;&lt;rec-number&gt;15545&lt;/rec-number&gt;&lt;foreign-keys&gt;&lt;key app="EN" db-id="tvawz2wwrwafv7e50wg5wxed5rpvxvp00eds" timestamp="1536552113"&gt;15545&lt;/key&gt;&lt;/foreign-keys&gt;&lt;ref-type name="Conference Proceedings"&gt;10&lt;/ref-type&gt;&lt;contributors&gt;&lt;authors&gt;&lt;author&gt;Hendriks, N.,&lt;/author&gt;&lt;author&gt;Huybrechts, L.,&lt;/author&gt;&lt;author&gt;Wilkinson, A.,&lt;/author&gt;&lt;author&gt;Slegers, K.,&lt;/author&gt;&lt;/authors&gt;&lt;/contributors&gt;&lt;titles&gt;&lt;title&gt;Challenges in doing participatory design with people with dementia&lt;/title&gt;&lt;secondary-title&gt;Participatory Design Conference&lt;/secondary-title&gt;&lt;/titles&gt;&lt;pages&gt;33-36&lt;/pages&gt;&lt;keywords&gt;&lt;keyword&gt;Art&lt;/keyword&gt;&lt;keyword&gt;Dissemination&lt;/keyword&gt;&lt;keyword&gt;Elderly&lt;/keyword&gt;&lt;keyword&gt;Evidence-based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recording&lt;/keyword&gt;&lt;keyword&gt;Visual&lt;/keyword&gt;&lt;/keywords&gt;&lt;dates&gt;&lt;year&gt;2014&lt;/year&gt;&lt;pub-dates&gt;&lt;date&gt;6th-10th Oct.&lt;/date&gt;&lt;/pub-dates&gt;&lt;/dates&gt;&lt;pub-location&gt;Windhoek, Namibia&lt;/pub-location&gt;&lt;urls&gt;&lt;/urls&gt;&lt;electronic-resource-num&gt;http://dx.doi.org/10.1145/2662155.2662196&lt;/electronic-resource-num&gt;&lt;research-notes&gt;https://core.ac.uk/download/pdf/34622694.pdf&amp;#xD;http://www.pdc2014.org/&lt;/research-notes&gt;&lt;/record&gt;&lt;/Cite&gt;&lt;/EndNote&gt;</w:instrText>
      </w:r>
      <w:r>
        <w:rPr>
          <w:rFonts w:ascii="FreeSans" w:hAnsi="FreeSans"/>
        </w:rPr>
        <w:fldChar w:fldCharType="separate"/>
      </w:r>
      <w:bookmarkStart w:id="18" w:name="__Fieldmark__21336_2090204579"/>
      <w:r>
        <w:rPr>
          <w:rFonts w:ascii="FreeSans" w:hAnsi="FreeSans"/>
        </w:rPr>
        <w:t>(2014)</w:t>
      </w:r>
      <w:r>
        <w:rPr>
          <w:rFonts w:ascii="FreeSans" w:hAnsi="FreeSans"/>
        </w:rPr>
      </w:r>
      <w:r>
        <w:rPr>
          <w:rFonts w:ascii="FreeSans" w:hAnsi="FreeSans"/>
        </w:rPr>
        <w:fldChar w:fldCharType="end"/>
      </w:r>
      <w:bookmarkEnd w:id="18"/>
      <w:r>
        <w:rPr>
          <w:rFonts w:ascii="FreeSans" w:hAnsi="FreeSans"/>
        </w:rPr>
        <w:t xml:space="preserve"> advised that, ‘[some] people with dementia… stopped participating… [when they] had to be hospitalized’.</w:t>
      </w:r>
    </w:p>
    <w:p>
      <w:pPr>
        <w:pStyle w:val="Normal"/>
        <w:spacing w:lineRule="auto" w:line="360"/>
        <w:rPr>
          <w:rFonts w:ascii="FreeSans" w:hAnsi="FreeSans"/>
        </w:rPr>
      </w:pPr>
      <w:r>
        <w:rPr>
          <w:rFonts w:ascii="FreeSans" w:hAnsi="FreeSans"/>
        </w:rPr>
        <w:t xml:space="preserve">The limited involvement of people with dementia and/or delirium in participatory research, particularly when in hospital, might be for a host of reasons. These include (but are not limited to): the heightened scrutiny of human research ethics committees at the whiff of a project that hints at vulnerability, broadly defined; the time typically required to negotiate access to a research site with senior managers, some of who might be risk-averse; limited workforce capacity within hospitals, which in turn can hinder clinician time for, and interest in research; the effort required to establish and maintain rapport – with legal guardians in the first instance and then prospective participants – to segue into participant recruitment and data collection; and the need to continually and respectfully accommodate the changing needs and preferences of: people with dementia and/or delirium; those around them within a shared hospital setting; as well as their carers </w:t>
      </w:r>
      <w:r>
        <w:fldChar w:fldCharType="begin"/>
      </w:r>
      <w:r>
        <w:rPr>
          <w:rFonts w:ascii="FreeSans" w:hAnsi="FreeSans"/>
        </w:rPr>
        <w:instrText>ADDIN EN.CITE</w:instrText>
      </w:r>
      <w:r>
        <w:rPr>
          <w:rFonts w:ascii="FreeSans" w:hAnsi="FreeSans"/>
        </w:rPr>
        <w:fldChar w:fldCharType="separate"/>
      </w:r>
      <w:bookmarkStart w:id="19" w:name="__Fieldmark__21362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20" w:name="__Fieldmark__21361_2090204579"/>
      <w:bookmarkEnd w:id="19"/>
      <w:r>
        <w:rPr>
          <w:rFonts w:ascii="FreeSans" w:hAnsi="FreeSans"/>
        </w:rPr>
        <w:t>(Dewing 2007, Kristensen, Nymann et al. 2016, Messner, Moloney et al. 2016, Bartlett, Milne et al. 2018, Unertl, Fair et al. 2018)</w:t>
      </w:r>
      <w:r>
        <w:rPr>
          <w:rFonts w:ascii="FreeSans" w:hAnsi="FreeSans"/>
        </w:rPr>
      </w:r>
      <w:r>
        <w:rPr>
          <w:rFonts w:ascii="FreeSans" w:hAnsi="FreeSans"/>
        </w:rPr>
        <w:fldChar w:fldCharType="end"/>
      </w:r>
      <w:bookmarkEnd w:id="20"/>
      <w:r>
        <w:rPr>
          <w:rFonts w:ascii="FreeSans" w:hAnsi="FreeSans"/>
        </w:rPr>
        <w:t>.</w:t>
      </w:r>
    </w:p>
    <w:p>
      <w:pPr>
        <w:pStyle w:val="Normal"/>
        <w:spacing w:lineRule="auto" w:line="360" w:before="285" w:after="285"/>
        <w:rPr>
          <w:rFonts w:ascii="FreeSans" w:hAnsi="FreeSans"/>
        </w:rPr>
      </w:pPr>
      <w:r>
        <w:rPr>
          <w:rFonts w:ascii="FreeSans" w:hAnsi="FreeSans"/>
        </w:rPr>
        <w:t xml:space="preserve">Despite the challenges associated with </w:t>
      </w:r>
      <w:bookmarkStart w:id="21" w:name="_Hlk524348096"/>
      <w:r>
        <w:rPr>
          <w:rFonts w:ascii="FreeSans" w:hAnsi="FreeSans"/>
        </w:rPr>
        <w:t>participatory research</w:t>
      </w:r>
      <w:bookmarkEnd w:id="21"/>
      <w:r>
        <w:rPr>
          <w:rFonts w:ascii="FreeSans" w:hAnsi="FreeSans"/>
        </w:rPr>
        <w:t xml:space="preserve">, continuing to bypass people with dementia and/or delirium from such research is problematic and unjustified </w:t>
      </w:r>
      <w:r>
        <w:fldChar w:fldCharType="begin"/>
      </w:r>
      <w:r>
        <w:rPr>
          <w:rFonts w:ascii="FreeSans" w:hAnsi="FreeSans"/>
        </w:rPr>
        <w:instrText>ADDIN EN.CITE &lt;EndNote&gt;&lt;Cite&gt;&lt;Author&gt;Wilkinson&lt;/Author&gt;&lt;Year&gt;2002&lt;/Year&gt;&lt;RecNum&gt;15543&lt;/RecNum&gt;&lt;DisplayText&gt;(Wilkinson 2002)&lt;/DisplayText&gt;&lt;record&gt;&lt;rec-number&gt;15543&lt;/rec-number&gt;&lt;foreign-keys&gt;&lt;key app="EN" db-id="tvawz2wwrwafv7e50wg5wxed5rpvxvp00eds" timestamp="1536549882"&gt;15543&lt;/key&gt;&lt;/foreign-keys&gt;&lt;ref-type name="Book Section"&gt;5&lt;/ref-type&gt;&lt;contributors&gt;&lt;authors&gt;&lt;author&gt;Wilkinson, H.,&lt;/author&gt;&lt;/authors&gt;&lt;secondary-authors&gt;&lt;author&gt;Wilkinson, H.,&lt;/author&gt;&lt;/secondary-authors&gt;&lt;/contributors&gt;&lt;titles&gt;&lt;title&gt;Including people with dementia in research: Methods and motivations&lt;/title&gt;&lt;secondary-title&gt;The perspectives of people with dementia: Research methods and motivations&lt;/secondary-title&gt;&lt;/titles&gt;&lt;pages&gt;9-24&lt;/pages&gt;&lt;keywords&gt;&lt;keyword&gt;Art&lt;/keyword&gt;&lt;keyword&gt;Dissemination&lt;/keyword&gt;&lt;keyword&gt;Elderly&lt;/keyword&gt;&lt;keyword&gt;Evidence-based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recording&lt;/keyword&gt;&lt;keyword&gt;Visual&lt;/keyword&gt;&lt;/keywords&gt;&lt;dates&gt;&lt;year&gt;2002&lt;/year&gt;&lt;/dates&gt;&lt;pub-location&gt;London&lt;/pub-location&gt;&lt;publisher&gt;Jessica Kingsley Publishers&lt;/publisher&gt;&lt;urls&gt;&lt;/urls&gt;&lt;research-notes&gt;https://books.google.com.au/books?hl=en&amp;amp;lr=&amp;amp;id=aeoZBAAAQBAJ&amp;amp;oi=fnd&amp;amp;pg=PA7&amp;amp;dq=doing+research+with+people+with+dementia&amp;amp;ots=2vsFLXGHeP&amp;amp;sig=Q8zKF2fiYKyLOczpdgUHI-q6ZFQ#v=onepage&amp;amp;q=hospital&amp;amp;f=false&lt;/research-notes&gt;&lt;/record&gt;&lt;/Cite&gt;&lt;/EndNote&gt;</w:instrText>
      </w:r>
      <w:r>
        <w:rPr>
          <w:rFonts w:ascii="FreeSans" w:hAnsi="FreeSans"/>
        </w:rPr>
        <w:fldChar w:fldCharType="separate"/>
      </w:r>
      <w:bookmarkStart w:id="22" w:name="__Fieldmark__21376_2090204579"/>
      <w:r>
        <w:rPr>
          <w:rFonts w:ascii="FreeSans" w:hAnsi="FreeSans"/>
        </w:rPr>
        <w:t>(Wilkinson 2002)</w:t>
      </w:r>
      <w:r>
        <w:rPr>
          <w:rFonts w:ascii="FreeSans" w:hAnsi="FreeSans"/>
        </w:rPr>
      </w:r>
      <w:r>
        <w:rPr>
          <w:rFonts w:ascii="FreeSans" w:hAnsi="FreeSans"/>
        </w:rPr>
        <w:fldChar w:fldCharType="end"/>
      </w:r>
      <w:bookmarkEnd w:id="22"/>
      <w:r>
        <w:rPr>
          <w:rFonts w:ascii="FreeSans" w:hAnsi="FreeSans"/>
        </w:rPr>
        <w:t xml:space="preserve">. In addition to positioning these individuals as ‘Worthless and childlike’ </w:t>
      </w:r>
      <w:r>
        <w:fldChar w:fldCharType="begin"/>
      </w:r>
      <w:r>
        <w:rPr>
          <w:rFonts w:ascii="FreeSans" w:hAnsi="FreeSans"/>
        </w:rPr>
        <w:instrText>ADDIN EN.CITE &lt;EndNote&gt;&lt;Cite&gt;&lt;Author&gt;Neville&lt;/Author&gt;&lt;Year&gt;2008&lt;/Year&gt;&lt;RecNum&gt;15541&lt;/RecNum&gt;&lt;DisplayText&gt;(Neville 2008)&lt;/DisplayText&gt;&lt;record&gt;&lt;rec-number&gt;15541&lt;/rec-number&gt;&lt;foreign-keys&gt;&lt;key app="EN" db-id="tvawz2wwrwafv7e50wg5wxed5rpvxvp00eds" timestamp="1536548434"&gt;15541&lt;/key&gt;&lt;/foreign-keys&gt;&lt;ref-type name="Journal Article"&gt;17&lt;/ref-type&gt;&lt;contributors&gt;&lt;authors&gt;&lt;author&gt;Neville, S.,&lt;/author&gt;&lt;/authors&gt;&lt;/contributors&gt;&lt;titles&gt;&lt;title&gt;Older people with delirium: Worthless and childlike&lt;/title&gt;&lt;secondary-title&gt;International Journal of Nursing Practice&lt;/secondary-title&gt;&lt;/titles&gt;&lt;periodical&gt;&lt;full-title&gt;International Journal of Nursing Practice&lt;/full-title&gt;&lt;/periodical&gt;&lt;pages&gt;463-469&lt;/pages&gt;&lt;volume&gt;14&lt;/volume&gt;&lt;number&gt;6&lt;/number&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2008&lt;/year&gt;&lt;pub-dates&gt;&lt;date&gt;Dec.&lt;/date&gt;&lt;/pub-dates&gt;&lt;/dates&gt;&lt;urls&gt;&lt;/urls&gt;&lt;research-notes&gt;https://onlinelibrary-wiley-com.ezproxy.uws.edu.au/doi/full/10.1111/j.1440-172X.2008.00721.x&lt;/research-notes&gt;&lt;/record&gt;&lt;/Cite&gt;&lt;/EndNote&gt;</w:instrText>
      </w:r>
      <w:r>
        <w:rPr>
          <w:rFonts w:ascii="FreeSans" w:hAnsi="FreeSans"/>
        </w:rPr>
        <w:fldChar w:fldCharType="separate"/>
      </w:r>
      <w:bookmarkStart w:id="23" w:name="__Fieldmark__21382_2090204579"/>
      <w:r>
        <w:rPr>
          <w:rFonts w:ascii="FreeSans" w:hAnsi="FreeSans"/>
        </w:rPr>
        <w:t>(Neville 2008)</w:t>
      </w:r>
      <w:r>
        <w:rPr>
          <w:rFonts w:ascii="FreeSans" w:hAnsi="FreeSans"/>
        </w:rPr>
      </w:r>
      <w:r>
        <w:rPr>
          <w:rFonts w:ascii="FreeSans" w:hAnsi="FreeSans"/>
        </w:rPr>
        <w:fldChar w:fldCharType="end"/>
      </w:r>
      <w:bookmarkEnd w:id="23"/>
      <w:r>
        <w:rPr>
          <w:rFonts w:ascii="FreeSans" w:hAnsi="FreeSans"/>
        </w:rPr>
        <w:t xml:space="preserve">, research that constrains participation can: thwart the advancement of theory; hinder practice improvement; and (most importantly) compromise the quality of life of people with dementia and/or delirium, and their carers. This is because </w:t>
      </w:r>
      <w:r>
        <w:rPr>
          <w:rFonts w:ascii="FreeSans" w:hAnsi="FreeSans"/>
          <w:lang w:eastAsia="en-AU"/>
        </w:rPr>
        <w:t xml:space="preserve">the development of notable theory and the associated ‘interventions’ (broadly defined) require approaches that constructively provoke beliefs and assumptions, rather than identify issues, which itself is largely based on assumptions </w:t>
      </w:r>
      <w:r>
        <w:fldChar w:fldCharType="begin"/>
      </w:r>
      <w:r>
        <w:rPr>
          <w:rFonts w:ascii="FreeSans" w:hAnsi="FreeSans"/>
        </w:rPr>
        <w:instrText>ADDIN EN.CITE &lt;EndNote&gt;&lt;Cite&gt;&lt;Author&gt;Alvesson&lt;/Author&gt;&lt;Year&gt;2011&lt;/Year&gt;&lt;RecNum&gt;10368&lt;/RecNum&gt;&lt;DisplayText&gt;(Alvesson and Sandberg 2011, Masny 2016)&lt;/DisplayText&gt;&lt;record&gt;&lt;rec-number&gt;10368&lt;/rec-number&gt;&lt;foreign-keys&gt;&lt;key app="EN" db-id="tvawz2wwrwafv7e50wg5wxed5rpvxvp00eds" timestamp="1377159950"&gt;10368&lt;/key&gt;&lt;/foreign-keys&gt;&lt;ref-type name="Journal Article"&gt;17&lt;/ref-type&gt;&lt;contributors&gt;&lt;authors&gt;&lt;author&gt;Alvesson, M.,&lt;/author&gt;&lt;author&gt;Sandberg, J.,&lt;/author&gt;&lt;/authors&gt;&lt;/contributors&gt;&lt;titles&gt;&lt;title&gt;Generating research questions through problematization&lt;/title&gt;&lt;secondary-title&gt;Academy of Management Review&lt;/secondary-title&gt;&lt;/titles&gt;&lt;periodical&gt;&lt;full-title&gt;Academy of Management Review&lt;/full-title&gt;&lt;/periodical&gt;&lt;pages&gt;247-271&lt;/pages&gt;&lt;volume&gt;36&lt;/volume&gt;&lt;number&gt;2&lt;/number&gt;&lt;keywords&gt;&lt;keyword&gt;Constructionism&lt;/keyword&gt;&lt;keyword&gt;Knowledge&lt;/keyword&gt;&lt;keyword&gt;Management&lt;/keyword&gt;&lt;keyword&gt;Methodology&lt;/keyword&gt;&lt;keyword&gt;Organisation&lt;/keyword&gt;&lt;keyword&gt;Professional identity&lt;/keyword&gt;&lt;keyword&gt;Research design&lt;/keyword&gt;&lt;keyword&gt;Social identity&lt;/keyword&gt;&lt;keyword&gt;Theory&lt;/keyword&gt;&lt;/keywords&gt;&lt;dates&gt;&lt;year&gt;2011&lt;/year&gt;&lt;pub-dates&gt;&lt;date&gt;Nov.&lt;/date&gt;&lt;/pub-dates&gt;&lt;/dates&gt;&lt;urls&gt;&lt;/urls&gt;&lt;/record&gt;&lt;/Cite&gt;&lt;Cite&gt;&lt;Author&gt;Masny&lt;/Author&gt;&lt;Year&gt;2016&lt;/Year&gt;&lt;RecNum&gt;13446&lt;/RecNum&gt;&lt;record&gt;&lt;rec-number&gt;13446&lt;/rec-number&gt;&lt;foreign-keys&gt;&lt;key app="EN" db-id="tvawz2wwrwafv7e50wg5wxed5rpvxvp00eds" timestamp="1473066208"&gt;13446&lt;/key&gt;&lt;/foreign-keys&gt;&lt;ref-type name="Journal Article"&gt;17&lt;/ref-type&gt;&lt;contributors&gt;&lt;authors&gt;&lt;author&gt;Masny, D.,&lt;/author&gt;&lt;/authors&gt;&lt;/contributors&gt;&lt;titles&gt;&lt;title&gt;Problematizing qualitative research: Reading a data assemblage with rhizoanalysis&lt;/title&gt;&lt;secondary-title&gt;Qualitative Inquiry&lt;/secondary-title&gt;&lt;/titles&gt;&lt;periodical&gt;&lt;full-title&gt;Qualitative Inquiry&lt;/full-title&gt;&lt;/periodical&gt;&lt;pages&gt;666-675&lt;/pages&gt;&lt;volume&gt;22&lt;/volume&gt;&lt;number&gt;8&lt;/number&gt;&lt;keywords&gt;&lt;keyword&gt;Analysis&lt;/keyword&gt;&lt;keyword&gt;Epistemology&lt;/keyword&gt;&lt;keyword&gt;Methodology&lt;/keyword&gt;&lt;keyword&gt;Qualitative research&lt;/keyword&gt;&lt;keyword&gt;Theory&lt;/keyword&gt;&lt;/keywords&gt;&lt;dates&gt;&lt;year&gt;2016&lt;/year&gt;&lt;/dates&gt;&lt;urls&gt;&lt;/urls&gt;&lt;/record&gt;&lt;/Cite&gt;&lt;/EndNote&gt;</w:instrText>
      </w:r>
      <w:r>
        <w:rPr>
          <w:rFonts w:ascii="FreeSans" w:hAnsi="FreeSans"/>
        </w:rPr>
        <w:fldChar w:fldCharType="separate"/>
      </w:r>
      <w:bookmarkStart w:id="24" w:name="__Fieldmark__21396_2090204579"/>
      <w:r>
        <w:rPr>
          <w:rFonts w:ascii="FreeSans" w:hAnsi="FreeSans"/>
        </w:rPr>
      </w:r>
      <w:r>
        <w:rPr>
          <w:rFonts w:ascii="FreeSans" w:hAnsi="FreeSans"/>
          <w:lang w:eastAsia="en-AU"/>
        </w:rPr>
        <w:t>(Alvesson and Sandberg 2011, Masny 2016)</w:t>
      </w:r>
      <w:r>
        <w:rPr>
          <w:rFonts w:ascii="FreeSans" w:hAnsi="FreeSans"/>
        </w:rPr>
      </w:r>
      <w:r>
        <w:rPr>
          <w:rFonts w:ascii="FreeSans" w:hAnsi="FreeSans"/>
        </w:rPr>
        <w:fldChar w:fldCharType="end"/>
      </w:r>
      <w:bookmarkEnd w:id="24"/>
      <w:r>
        <w:rPr>
          <w:rFonts w:ascii="FreeSans" w:hAnsi="FreeSans"/>
          <w:lang w:eastAsia="en-AU"/>
        </w:rPr>
        <w:t xml:space="preserve">. Given the growing prevalence of dementia, worldwide, and associated economic implications for public health systems </w:t>
      </w:r>
      <w:r>
        <w:fldChar w:fldCharType="begin"/>
      </w:r>
      <w:r>
        <w:rPr>
          <w:rFonts w:ascii="FreeSans" w:hAnsi="FreeSans"/>
        </w:rPr>
        <w:instrText>ADDIN EN.CITE</w:instrText>
      </w:r>
      <w:r>
        <w:rPr>
          <w:rFonts w:ascii="FreeSans" w:hAnsi="FreeSans"/>
        </w:rPr>
        <w:fldChar w:fldCharType="separate"/>
      </w:r>
      <w:bookmarkStart w:id="25" w:name="__Fieldmark__21408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26" w:name="__Fieldmark__21407_2090204579"/>
      <w:bookmarkEnd w:id="25"/>
      <w:r>
        <w:rPr>
          <w:rFonts w:ascii="FreeSans" w:hAnsi="FreeSans"/>
        </w:rPr>
      </w:r>
      <w:r>
        <w:rPr>
          <w:rFonts w:ascii="FreeSans" w:hAnsi="FreeSans"/>
          <w:lang w:eastAsia="en-AU"/>
        </w:rPr>
        <w:t>(AIHW 2013, Chertkow 2018)</w:t>
      </w:r>
      <w:r>
        <w:rPr>
          <w:rFonts w:ascii="FreeSans" w:hAnsi="FreeSans"/>
        </w:rPr>
      </w:r>
      <w:r>
        <w:rPr>
          <w:rFonts w:ascii="FreeSans" w:hAnsi="FreeSans"/>
        </w:rPr>
        <w:fldChar w:fldCharType="end"/>
      </w:r>
      <w:bookmarkEnd w:id="26"/>
      <w:r>
        <w:rPr>
          <w:rFonts w:ascii="FreeSans" w:hAnsi="FreeSans"/>
          <w:lang w:eastAsia="en-AU"/>
        </w:rPr>
        <w:t xml:space="preserve">, it is pivotal to reconsider and reimagine ways to optimise research participation among people with </w:t>
      </w:r>
      <w:r>
        <w:rPr>
          <w:rFonts w:ascii="FreeSans" w:hAnsi="FreeSans"/>
        </w:rPr>
        <w:t>dementia and/or delirium within different contexts – including hospitals.</w:t>
      </w:r>
    </w:p>
    <w:p>
      <w:pPr>
        <w:pStyle w:val="Normal"/>
        <w:spacing w:lineRule="auto" w:line="360"/>
        <w:rPr>
          <w:rFonts w:ascii="FreeSans" w:hAnsi="FreeSans"/>
        </w:rPr>
      </w:pPr>
      <w:r>
        <w:rPr>
          <w:rFonts w:ascii="FreeSans" w:hAnsi="FreeSans"/>
          <w:lang w:eastAsia="en-AU"/>
        </w:rPr>
        <w:t xml:space="preserve">Building on extant literature </w:t>
      </w:r>
      <w:r>
        <w:fldChar w:fldCharType="begin"/>
      </w:r>
      <w:r>
        <w:rPr>
          <w:rFonts w:ascii="FreeSans" w:hAnsi="FreeSans"/>
        </w:rPr>
        <w:instrText>ADDIN EN.CITE</w:instrText>
      </w:r>
      <w:r>
        <w:rPr>
          <w:rFonts w:ascii="FreeSans" w:hAnsi="FreeSans"/>
        </w:rPr>
        <w:fldChar w:fldCharType="separate"/>
      </w:r>
      <w:bookmarkStart w:id="27" w:name="__Fieldmark__21421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28" w:name="__Fieldmark__21420_2090204579"/>
      <w:bookmarkEnd w:id="27"/>
      <w:r>
        <w:rPr>
          <w:rFonts w:ascii="FreeSans" w:hAnsi="FreeSans"/>
        </w:rPr>
      </w:r>
      <w:r>
        <w:rPr>
          <w:rFonts w:ascii="FreeSans" w:hAnsi="FreeSans"/>
          <w:lang w:eastAsia="en-AU"/>
        </w:rPr>
        <w:t>(Slaughter, Cole et al. 2007, Murphy, Jordan et al. 2014, Hung, Phinney et al. 2018)</w:t>
      </w:r>
      <w:r>
        <w:rPr>
          <w:rFonts w:ascii="FreeSans" w:hAnsi="FreeSans"/>
        </w:rPr>
      </w:r>
      <w:r>
        <w:rPr>
          <w:rFonts w:ascii="FreeSans" w:hAnsi="FreeSans"/>
        </w:rPr>
        <w:fldChar w:fldCharType="end"/>
      </w:r>
      <w:bookmarkEnd w:id="28"/>
      <w:r>
        <w:rPr>
          <w:rFonts w:ascii="FreeSans" w:hAnsi="FreeSans"/>
          <w:lang w:eastAsia="en-AU"/>
        </w:rPr>
        <w:t>, this</w:t>
      </w:r>
      <w:r>
        <w:rPr>
          <w:rFonts w:eastAsia="Georgia" w:cs="Georgia" w:ascii="FreeSans" w:hAnsi="FreeSans"/>
          <w:szCs w:val="20"/>
        </w:rPr>
        <w:t xml:space="preserve"> methodological</w:t>
      </w:r>
      <w:r>
        <w:rPr>
          <w:rFonts w:ascii="FreeSans" w:hAnsi="FreeSans"/>
          <w:lang w:eastAsia="en-AU"/>
        </w:rPr>
        <w:t xml:space="preserve"> article demonstrates how </w:t>
      </w:r>
      <w:r>
        <w:rPr>
          <w:rFonts w:ascii="FreeSans" w:hAnsi="FreeSans"/>
        </w:rPr>
        <w:t xml:space="preserve">video reflexive ethnography (VRE) – as a participatory methodology – can be used within the sacrosanct space of a hospital to actively involve people with dementia and delirium to ultimately promote quality care. </w:t>
      </w:r>
      <w:r>
        <w:rPr>
          <w:rFonts w:eastAsia="Georgia" w:cs="Georgia" w:ascii="FreeSans" w:hAnsi="FreeSans"/>
          <w:szCs w:val="20"/>
        </w:rPr>
        <w:t xml:space="preserve">To demonstrate the potential of VRE, this article commences with a brief overview of the methodology, and the growing importance of </w:t>
      </w:r>
      <w:r>
        <w:rPr>
          <w:rFonts w:ascii="FreeSans" w:hAnsi="FreeSans"/>
        </w:rPr>
        <w:t>dementia and delirium care.</w:t>
      </w:r>
      <w:r>
        <w:rPr>
          <w:rFonts w:eastAsia="Georgia" w:cs="Georgia" w:ascii="FreeSans" w:hAnsi="FreeSans"/>
          <w:szCs w:val="20"/>
        </w:rPr>
        <w:t xml:space="preserve"> It then presents the reflections of clinicians who assumed the role of co-researcher. Specifically, the reflections describe: how VRE was used to examine, understand, and </w:t>
      </w:r>
      <w:r>
        <w:rPr>
          <w:rFonts w:ascii="FreeSans" w:hAnsi="FreeSans"/>
        </w:rPr>
        <w:t xml:space="preserve">promote quality hospital-based care for people with dementia and delirium; the challenges associated with this methodology; and the ways challenges were respectfully managed. These reflections illustrate how VRE can create and facilitate ‘meaning-making occasions’ </w:t>
      </w:r>
      <w:r>
        <w:fldChar w:fldCharType="begin"/>
      </w:r>
      <w:r>
        <w:rPr>
          <w:rFonts w:ascii="FreeSans" w:hAnsi="FreeSans"/>
        </w:rPr>
        <w:instrText>ADDIN EN.CITE &lt;EndNote&gt;&lt;Cite&gt;&lt;Author&gt;Hubbard&lt;/Author&gt;&lt;Year&gt;2003&lt;/Year&gt;&lt;RecNum&gt;15546&lt;/RecNum&gt;&lt;Pages&gt;351&lt;/Pages&gt;&lt;DisplayText&gt;(Hubbard, Downs et al. 2003)&lt;/DisplayText&gt;&lt;record&gt;&lt;rec-number&gt;15546&lt;/rec-number&gt;&lt;foreign-keys&gt;&lt;key app="EN" db-id="tvawz2wwrwafv7e50wg5wxed5rpvxvp00eds" timestamp="1536553047"&gt;15546&lt;/key&gt;&lt;/foreign-keys&gt;&lt;ref-type name="Journal Article"&gt;17&lt;/ref-type&gt;&lt;contributors&gt;&lt;authors&gt;&lt;author&gt;Hubbard, G.,&lt;/author&gt;&lt;author&gt;Downs, M.G.,&lt;/author&gt;&lt;author&gt;Tester, S.,&lt;/author&gt;&lt;/authors&gt;&lt;/contributors&gt;&lt;titles&gt;&lt;title&gt;Including older people with dementia in research: Challenges and strategies&lt;/title&gt;&lt;secondary-title&gt;Aging and Mental Health&lt;/secondary-title&gt;&lt;/titles&gt;&lt;periodical&gt;&lt;full-title&gt;Aging and Mental Health&lt;/full-title&gt;&lt;/periodical&gt;&lt;pages&gt;351-362&lt;/pages&gt;&lt;volume&gt;7&lt;/volume&gt;&lt;number&gt;5&lt;/number&gt;&lt;keywords&gt;&lt;keyword&gt;Art&lt;/keyword&gt;&lt;keyword&gt;Dissemination&lt;/keyword&gt;&lt;keyword&gt;Elderly&lt;/keyword&gt;&lt;keyword&gt;Evidence-based practice&lt;/keyword&gt;&lt;keyword&gt;Geriatrics&lt;/keyword&gt;&lt;keyword&gt;Knowledge transfer&lt;/keyword&gt;&lt;keyword&gt;Participatory action research&lt;/keyword&gt;&lt;keyword&gt;Photography&lt;/keyword&gt;&lt;keyword&gt;Research methods&lt;/keyword&gt;&lt;keyword&gt;Translation&lt;/keyword&gt;&lt;keyword&gt;Video recording&lt;/keyword&gt;&lt;keyword&gt;Visual&lt;/keyword&gt;&lt;/keywords&gt;&lt;dates&gt;&lt;year&gt;2003&lt;/year&gt;&lt;/dates&gt;&lt;urls&gt;&lt;/urls&gt;&lt;research-notes&gt;https://www-tandfonline-com.ezproxy.uws.edu.au/doi/abs/10.1080/1360786031000150685&lt;/research-notes&gt;&lt;/record&gt;&lt;/Cite&gt;&lt;/EndNote&gt;</w:instrText>
      </w:r>
      <w:r>
        <w:rPr>
          <w:rFonts w:ascii="FreeSans" w:hAnsi="FreeSans"/>
        </w:rPr>
        <w:fldChar w:fldCharType="separate"/>
      </w:r>
      <w:bookmarkStart w:id="29" w:name="__Fieldmark__21452_2090204579"/>
      <w:r>
        <w:rPr>
          <w:rFonts w:ascii="FreeSans" w:hAnsi="FreeSans"/>
        </w:rPr>
        <w:t>(Hubbard, Downs et al. 2003)</w:t>
      </w:r>
      <w:r>
        <w:rPr>
          <w:rFonts w:ascii="FreeSans" w:hAnsi="FreeSans"/>
        </w:rPr>
      </w:r>
      <w:r>
        <w:rPr>
          <w:rFonts w:ascii="FreeSans" w:hAnsi="FreeSans"/>
        </w:rPr>
        <w:fldChar w:fldCharType="end"/>
      </w:r>
      <w:bookmarkEnd w:id="29"/>
      <w:r>
        <w:rPr>
          <w:rFonts w:ascii="FreeSans" w:hAnsi="FreeSans"/>
        </w:rPr>
        <w:t xml:space="preserve"> to better understand care, </w:t>
      </w:r>
      <w:r>
        <w:rPr>
          <w:rFonts w:ascii="FreeSans" w:hAnsi="FreeSans"/>
          <w:i/>
        </w:rPr>
        <w:t>in situ</w:t>
      </w:r>
      <w:r>
        <w:rPr>
          <w:rFonts w:ascii="FreeSans" w:hAnsi="FreeSans"/>
        </w:rPr>
        <w:t xml:space="preserve">. </w:t>
      </w:r>
      <w:r>
        <w:rPr>
          <w:rFonts w:eastAsia="Georgia" w:cs="Georgia" w:ascii="FreeSans" w:hAnsi="FreeSans"/>
          <w:szCs w:val="20"/>
        </w:rPr>
        <w:t xml:space="preserve">The article then concludes with a discussion of the associated </w:t>
      </w:r>
      <w:r>
        <w:rPr>
          <w:rFonts w:ascii="FreeSans" w:hAnsi="FreeSans"/>
        </w:rPr>
        <w:t>implications</w:t>
      </w:r>
      <w:r>
        <w:rPr>
          <w:rFonts w:eastAsia="Georgia" w:cs="Georgia" w:ascii="FreeSans" w:hAnsi="FreeSans"/>
          <w:szCs w:val="20"/>
        </w:rPr>
        <w:t>.</w:t>
      </w:r>
    </w:p>
    <w:p>
      <w:pPr>
        <w:pStyle w:val="Heading1"/>
        <w:spacing w:before="114" w:after="114"/>
        <w:rPr>
          <w:rFonts w:eastAsia="Georgia"/>
        </w:rPr>
      </w:pPr>
      <w:r>
        <w:rPr/>
        <w:t>Video Reflexive Ethnography</w:t>
      </w:r>
    </w:p>
    <w:p>
      <w:pPr>
        <w:pStyle w:val="Normal"/>
        <w:spacing w:lineRule="auto" w:line="360" w:before="285" w:after="285"/>
        <w:rPr>
          <w:rFonts w:ascii="FreeSans" w:hAnsi="FreeSans"/>
        </w:rPr>
      </w:pPr>
      <w:r>
        <w:rPr>
          <w:rFonts w:ascii="FreeSans" w:hAnsi="FreeSans"/>
        </w:rPr>
        <w:t xml:space="preserve">VRE is a methodology that involves: filming practices and/or accounts, thereof; and inviting those who are filmed, and/or those connected with the context, to view and analyse footage to better understand what is explicit and implicit </w:t>
      </w:r>
      <w:r>
        <w:fldChar w:fldCharType="begin"/>
      </w:r>
      <w:r>
        <w:rPr>
          <w:rFonts w:ascii="FreeSans" w:hAnsi="FreeSans"/>
        </w:rPr>
        <w:instrText>ADDIN EN.CITE &lt;EndNote&gt;&lt;Cite&gt;&lt;Author&gt;Iedema&lt;/Author&gt;&lt;Year&gt;2018&lt;/Year&gt;&lt;RecNum&gt;15078&lt;/RecNum&gt;&lt;DisplayText&gt;(Iedema, Carroll et al. 2018)&lt;/DisplayText&gt;&lt;record&gt;&lt;rec-number&gt;15078&lt;/rec-number&gt;&lt;foreign-keys&gt;&lt;key app="EN" db-id="tvawz2wwrwafv7e50wg5wxed5rpvxvp00eds" timestamp="1524822418"&gt;15078&lt;/key&gt;&lt;/foreign-keys&gt;&lt;ref-type name="Book"&gt;6&lt;/ref-type&gt;&lt;contributors&gt;&lt;authors&gt;&lt;author&gt;Iedema, R.,&lt;/author&gt;&lt;author&gt;Carroll, K.,&lt;/author&gt;&lt;author&gt;Collier, A.,&lt;/author&gt;&lt;author&gt;Hor, S.,&lt;/author&gt;&lt;author&gt;Mesman, J.,&lt;/author&gt;&lt;author&gt;Wyer, M.,&lt;/author&gt;&lt;/authors&gt;&lt;/contributors&gt;&lt;titles&gt;&lt;title&gt;Video reflexive ethnography in health research and healthcare improvement. &lt;/title&gt;&lt;/titles&gt;&lt;keywords&gt;&lt;keyword&gt;Epistemology&lt;/keyword&gt;&lt;keyword&gt;Ethnography&lt;/keyword&gt;&lt;keyword&gt;Interpretive&lt;/keyword&gt;&lt;keyword&gt;Methodology&lt;/keyword&gt;&lt;keyword&gt;Qualitative research&lt;/keyword&gt;&lt;keyword&gt;Research design&lt;/keyword&gt;&lt;keyword&gt;Visual&lt;/keyword&gt;&lt;/keywords&gt;&lt;dates&gt;&lt;year&gt;2018&lt;/year&gt;&lt;/dates&gt;&lt;pub-location&gt;Milton Park&lt;/pub-location&gt;&lt;publisher&gt;Taylor &amp;amp; Francis&lt;/publisher&gt;&lt;urls&gt;&lt;/urls&gt;&lt;/record&gt;&lt;/Cite&gt;&lt;/EndNote&gt;</w:instrText>
      </w:r>
      <w:r>
        <w:rPr>
          <w:rFonts w:ascii="FreeSans" w:hAnsi="FreeSans"/>
        </w:rPr>
        <w:fldChar w:fldCharType="separate"/>
      </w:r>
      <w:bookmarkStart w:id="30" w:name="__Fieldmark__21478_2090204579"/>
      <w:r>
        <w:rPr>
          <w:rFonts w:ascii="FreeSans" w:hAnsi="FreeSans"/>
        </w:rPr>
        <w:t>(Iedema, Carroll et al. 2018)</w:t>
      </w:r>
      <w:r>
        <w:rPr>
          <w:rFonts w:ascii="FreeSans" w:hAnsi="FreeSans"/>
        </w:rPr>
      </w:r>
      <w:r>
        <w:rPr>
          <w:rFonts w:ascii="FreeSans" w:hAnsi="FreeSans"/>
        </w:rPr>
        <w:fldChar w:fldCharType="end"/>
      </w:r>
      <w:bookmarkEnd w:id="30"/>
      <w:r>
        <w:rPr>
          <w:rFonts w:ascii="FreeSans" w:hAnsi="FreeSans"/>
        </w:rPr>
        <w:t>. VRE assumes that local expertise is as critical to empirical research and quality improvement as external expertise. Furthermore, VRE supposes that those within complex organisational contexts often become habituated, if not oblivious to their and others’ practices. Because many practices become accepted as routine, they are rarely discussed, let alone critiqued. As such, it can be difficult for people to describe what they do, how they do it, and why.</w:t>
      </w:r>
    </w:p>
    <w:p>
      <w:pPr>
        <w:pStyle w:val="Normal"/>
        <w:spacing w:lineRule="auto" w:line="360" w:before="285" w:after="285"/>
        <w:rPr>
          <w:rFonts w:ascii="FreeSans" w:hAnsi="FreeSans"/>
        </w:rPr>
      </w:pPr>
      <w:r>
        <w:rPr>
          <w:rFonts w:ascii="FreeSans" w:hAnsi="FreeSans"/>
        </w:rPr>
        <w:t xml:space="preserve">VRE helps to direct local attention to mundane practices and create spaces for reflexivity </w:t>
      </w:r>
      <w:r>
        <w:fldChar w:fldCharType="begin"/>
      </w:r>
      <w:r>
        <w:rPr>
          <w:rFonts w:ascii="FreeSans" w:hAnsi="FreeSans"/>
        </w:rPr>
        <w:instrText>ADDIN EN.CITE &lt;EndNote&gt;&lt;Cite&gt;&lt;Author&gt;Iedema&lt;/Author&gt;&lt;Year&gt;2018&lt;/Year&gt;&lt;RecNum&gt;15078&lt;/RecNum&gt;&lt;DisplayText&gt;(Iedema, Carroll et al. 2018)&lt;/DisplayText&gt;&lt;record&gt;&lt;rec-number&gt;15078&lt;/rec-number&gt;&lt;foreign-keys&gt;&lt;key app="EN" db-id="tvawz2wwrwafv7e50wg5wxed5rpvxvp00eds" timestamp="1524822418"&gt;15078&lt;/key&gt;&lt;/foreign-keys&gt;&lt;ref-type name="Book"&gt;6&lt;/ref-type&gt;&lt;contributors&gt;&lt;authors&gt;&lt;author&gt;Iedema, R.,&lt;/author&gt;&lt;author&gt;Carroll, K.,&lt;/author&gt;&lt;author&gt;Collier, A.,&lt;/author&gt;&lt;author&gt;Hor, S.,&lt;/author&gt;&lt;author&gt;Mesman, J.,&lt;/author&gt;&lt;author&gt;Wyer, M.,&lt;/author&gt;&lt;/authors&gt;&lt;/contributors&gt;&lt;titles&gt;&lt;title&gt;Video reflexive ethnography in health research and healthcare improvement. &lt;/title&gt;&lt;/titles&gt;&lt;keywords&gt;&lt;keyword&gt;Epistemology&lt;/keyword&gt;&lt;keyword&gt;Ethnography&lt;/keyword&gt;&lt;keyword&gt;Interpretive&lt;/keyword&gt;&lt;keyword&gt;Methodology&lt;/keyword&gt;&lt;keyword&gt;Qualitative research&lt;/keyword&gt;&lt;keyword&gt;Research design&lt;/keyword&gt;&lt;keyword&gt;Visual&lt;/keyword&gt;&lt;/keywords&gt;&lt;dates&gt;&lt;year&gt;2018&lt;/year&gt;&lt;/dates&gt;&lt;pub-location&gt;Milton Park&lt;/pub-location&gt;&lt;publisher&gt;Taylor &amp;amp; Francis&lt;/publisher&gt;&lt;urls&gt;&lt;/urls&gt;&lt;/record&gt;&lt;/Cite&gt;&lt;/EndNote&gt;</w:instrText>
      </w:r>
      <w:r>
        <w:rPr>
          <w:rFonts w:ascii="FreeSans" w:hAnsi="FreeSans"/>
        </w:rPr>
        <w:fldChar w:fldCharType="separate"/>
      </w:r>
      <w:bookmarkStart w:id="31" w:name="__Fieldmark__21525_2090204579"/>
      <w:r>
        <w:rPr>
          <w:rFonts w:ascii="FreeSans" w:hAnsi="FreeSans"/>
        </w:rPr>
        <w:t>(Iedema, Carroll et al. 2018)</w:t>
      </w:r>
      <w:r>
        <w:rPr>
          <w:rFonts w:ascii="FreeSans" w:hAnsi="FreeSans"/>
        </w:rPr>
      </w:r>
      <w:r>
        <w:rPr>
          <w:rFonts w:ascii="FreeSans" w:hAnsi="FreeSans"/>
        </w:rPr>
        <w:fldChar w:fldCharType="end"/>
      </w:r>
      <w:bookmarkEnd w:id="31"/>
      <w:r>
        <w:rPr>
          <w:rFonts w:ascii="FreeSans" w:hAnsi="FreeSans"/>
        </w:rPr>
        <w:t xml:space="preserve">. Reflexivity is distinct from reflection. Reflexivity is collaborative in nature, socially distributed, and open in nature. It is concerned with peoples’ capacity to consider and affect actions and experiences, </w:t>
      </w:r>
      <w:r>
        <w:rPr>
          <w:rFonts w:ascii="FreeSans" w:hAnsi="FreeSans"/>
          <w:i/>
        </w:rPr>
        <w:t>in situ</w:t>
      </w:r>
      <w:r>
        <w:rPr>
          <w:rFonts w:ascii="FreeSans" w:hAnsi="FreeSans"/>
        </w:rPr>
        <w:t>. Reflexive space is an opportunity for organisational stakeholders to share and develop different views about what is seen and unseen in the footage, and what could be. VRE requires academics to relinquish power and be prepared to be as vulnerable as organisational stakeholders in the research process.</w:t>
      </w:r>
    </w:p>
    <w:p>
      <w:pPr>
        <w:pStyle w:val="Heading2"/>
        <w:rPr>
          <w:rFonts w:eastAsia="Georgia" w:cs="Georgia"/>
          <w:szCs w:val="20"/>
        </w:rPr>
      </w:pPr>
      <w:r>
        <w:rPr/>
        <w:t>Dementia and Delirium Care</w:t>
      </w:r>
    </w:p>
    <w:p>
      <w:pPr>
        <w:pStyle w:val="Normal"/>
        <w:spacing w:lineRule="auto" w:line="360" w:before="285" w:after="285"/>
        <w:rPr>
          <w:rFonts w:ascii="FreeSans" w:hAnsi="FreeSans"/>
        </w:rPr>
      </w:pPr>
      <w:r>
        <w:rPr>
          <w:rFonts w:ascii="FreeSans" w:hAnsi="FreeSans"/>
        </w:rPr>
        <w:t xml:space="preserve">Cognitive impairment, including dementia and delirium, affects over one-third of older people admitted to hospital for acute care </w:t>
      </w:r>
      <w:r>
        <w:fldChar w:fldCharType="begin"/>
      </w:r>
      <w:r>
        <w:rPr>
          <w:rFonts w:ascii="FreeSans" w:hAnsi="FreeSans"/>
        </w:rPr>
        <w:instrText>ADDIN EN.CITE &lt;EndNote&gt;&lt;Cite&gt;&lt;Author&gt;Reynish&lt;/Author&gt;&lt;Year&gt;2017&lt;/Year&gt;&lt;RecNum&gt;15643&lt;/RecNum&gt;&lt;DisplayText&gt;(Reynish, Hapca et al. 2017)&lt;/DisplayText&gt;&lt;record&gt;&lt;rec-number&gt;15643&lt;/rec-number&gt;&lt;foreign-keys&gt;&lt;key app="EN" db-id="tvawz2wwrwafv7e50wg5wxed5rpvxvp00eds" timestamp="1540251460"&gt;15643&lt;/key&gt;&lt;/foreign-keys&gt;&lt;ref-type name="Journal Article"&gt;17&lt;/ref-type&gt;&lt;contributors&gt;&lt;authors&gt;&lt;author&gt;Reynish, E.L.,&lt;/author&gt;&lt;author&gt;Hapca, S.M.,&lt;/author&gt;&lt;author&gt;De Souza, N.,&lt;/author&gt;&lt;author&gt;Cvoro, V.,&lt;/author&gt;&lt;author&gt;Donnan, P.T.,&lt;/author&gt;&lt;author&gt;Guthrie, B.,&lt;/author&gt;&lt;/authors&gt;&lt;/contributors&gt;&lt;titles&gt;&lt;title&gt;Epidemiology and outcomes of people with dementia, delirium, and unspecified cognitive impairment in the general hospital: Prospective cohort study of 10,014 admissions&lt;/title&gt;&lt;secondary-title&gt;BMC Medicine&lt;/secondary-title&gt;&lt;/titles&gt;&lt;periodical&gt;&lt;full-title&gt;BMC Medicine&lt;/full-title&gt;&lt;/periodical&gt;&lt;pages&gt;1-12&lt;/pages&gt;&lt;volume&gt;15&lt;/volume&gt;&lt;number&gt;140&lt;/number&gt;&lt;keywords&gt;&lt;keyword&gt;Ageing&lt;/keyword&gt;&lt;keyword&gt;Dementia&lt;/keyword&gt;&lt;keyword&gt;Evidence-based practice&lt;/keyword&gt;&lt;keyword&gt;Knowledge transfer&lt;/keyword&gt;&lt;keyword&gt;Palliative care&lt;/keyword&gt;&lt;keyword&gt;Translation&lt;/keyword&gt;&lt;/keywords&gt;&lt;dates&gt;&lt;year&gt;2017&lt;/year&gt;&lt;/dates&gt;&lt;urls&gt;&lt;/urls&gt;&lt;research-notes&gt;https://bmcmedicine.biomedcentral.com/articles/10.1186/s12916-017-0899-0&lt;/research-notes&gt;&lt;/record&gt;&lt;/Cite&gt;&lt;/EndNote&gt;</w:instrText>
      </w:r>
      <w:r>
        <w:rPr>
          <w:rFonts w:ascii="FreeSans" w:hAnsi="FreeSans"/>
        </w:rPr>
        <w:fldChar w:fldCharType="separate"/>
      </w:r>
      <w:bookmarkStart w:id="32" w:name="__Fieldmark__21577_2090204579"/>
      <w:r>
        <w:rPr>
          <w:rFonts w:ascii="FreeSans" w:hAnsi="FreeSans"/>
        </w:rPr>
        <w:t>(Reynish, Hapca et al. 2017)</w:t>
      </w:r>
      <w:r>
        <w:rPr>
          <w:rFonts w:ascii="FreeSans" w:hAnsi="FreeSans"/>
        </w:rPr>
      </w:r>
      <w:r>
        <w:rPr>
          <w:rFonts w:ascii="FreeSans" w:hAnsi="FreeSans"/>
        </w:rPr>
        <w:fldChar w:fldCharType="end"/>
      </w:r>
      <w:bookmarkEnd w:id="32"/>
      <w:r>
        <w:rPr>
          <w:rFonts w:ascii="FreeSans" w:hAnsi="FreeSans"/>
        </w:rPr>
        <w:t xml:space="preserve">. Dementia can mark the onset of a progressive and an incurable decline in memory, thinking, language, perception, decision-making, and/or physical function </w:t>
      </w:r>
      <w:r>
        <w:fldChar w:fldCharType="begin"/>
      </w:r>
      <w:r>
        <w:rPr>
          <w:rFonts w:ascii="FreeSans" w:hAnsi="FreeSans"/>
        </w:rPr>
        <w:instrText>ADDIN EN.CITE &lt;EndNote&gt;&lt;Cite&gt;&lt;Author&gt;Han&lt;/Author&gt;&lt;Year&gt;2018&lt;/Year&gt;&lt;RecNum&gt;15644&lt;/RecNum&gt;&lt;DisplayText&gt;(Han and Suyama 2018)&lt;/DisplayText&gt;&lt;record&gt;&lt;rec-number&gt;15644&lt;/rec-number&gt;&lt;foreign-keys&gt;&lt;key app="EN" db-id="tvawz2wwrwafv7e50wg5wxed5rpvxvp00eds" timestamp="1540253217"&gt;15644&lt;/key&gt;&lt;/foreign-keys&gt;&lt;ref-type name="Journal Article"&gt;17&lt;/ref-type&gt;&lt;contributors&gt;&lt;authors&gt;&lt;author&gt;Han, H.J.,&lt;/author&gt;&lt;author&gt;Suyama, J.,&lt;/author&gt;&lt;/authors&gt;&lt;/contributors&gt;&lt;titles&gt;&lt;title&gt;Delerium and dementia&lt;/title&gt;&lt;secondary-title&gt;Clinics in Geriatric Medicine&lt;/secondary-title&gt;&lt;/titles&gt;&lt;periodical&gt;&lt;full-title&gt;Clinics in Geriatric Medicine&lt;/full-title&gt;&lt;abbr-1&gt;Clin. Geriatr. Med.&lt;/abbr-1&gt;&lt;abbr-2&gt;Clin Geriatr Med&lt;/abbr-2&gt;&lt;/periodical&gt;&lt;pages&gt;327-354&lt;/pages&gt;&lt;volume&gt;34&lt;/volume&gt;&lt;number&gt;3&lt;/number&gt;&lt;keywords&gt;&lt;keyword&gt;Ageing&lt;/keyword&gt;&lt;keyword&gt;Dementia&lt;/keyword&gt;&lt;keyword&gt;Evidence-based practice&lt;/keyword&gt;&lt;keyword&gt;Knowledge transfer&lt;/keyword&gt;&lt;keyword&gt;Palliative care&lt;/keyword&gt;&lt;keyword&gt;Translation&lt;/keyword&gt;&lt;/keywords&gt;&lt;dates&gt;&lt;year&gt;2018&lt;/year&gt;&lt;/dates&gt;&lt;urls&gt;&lt;/urls&gt;&lt;research-notes&gt;https://europepmc.org/abstract/med/30031420&lt;/research-notes&gt;&lt;/record&gt;&lt;/Cite&gt;&lt;/EndNote&gt;</w:instrText>
      </w:r>
      <w:r>
        <w:rPr>
          <w:rFonts w:ascii="FreeSans" w:hAnsi="FreeSans"/>
        </w:rPr>
        <w:fldChar w:fldCharType="separate"/>
      </w:r>
      <w:bookmarkStart w:id="33" w:name="__Fieldmark__21592_2090204579"/>
      <w:r>
        <w:rPr>
          <w:rFonts w:ascii="FreeSans" w:hAnsi="FreeSans"/>
        </w:rPr>
        <w:t>(Han and Suyama 2018)</w:t>
      </w:r>
      <w:r>
        <w:rPr>
          <w:rFonts w:ascii="FreeSans" w:hAnsi="FreeSans"/>
        </w:rPr>
      </w:r>
      <w:r>
        <w:rPr>
          <w:rFonts w:ascii="FreeSans" w:hAnsi="FreeSans"/>
        </w:rPr>
        <w:fldChar w:fldCharType="end"/>
      </w:r>
      <w:bookmarkEnd w:id="33"/>
      <w:r>
        <w:rPr>
          <w:rFonts w:ascii="FreeSans" w:hAnsi="FreeSans"/>
        </w:rPr>
        <w:t xml:space="preserve">. Although delirium can cause a similar decline in cognitive ability, it is distinguished by: its acute onset; its causes, some of which are physiological; and the way it can disturb attention. Furthermore, delirium is potentially preventable and can have a reversible course. Nevertheless, dementia and delirium are interrelated, whereby a person with dementia is likely to develop delirium, and vice versa. Both conditions are associated with adverse outcomes, including increased risk of: falls; pressure areas; pneumonia; hospitalisation; longer admissions; and death </w:t>
      </w:r>
      <w:r>
        <w:fldChar w:fldCharType="begin"/>
      </w:r>
      <w:r>
        <w:rPr>
          <w:rFonts w:ascii="FreeSans" w:hAnsi="FreeSans"/>
        </w:rPr>
        <w:instrText>ADDIN EN.CITE</w:instrText>
      </w:r>
      <w:r>
        <w:rPr>
          <w:rFonts w:ascii="FreeSans" w:hAnsi="FreeSans"/>
        </w:rPr>
        <w:fldChar w:fldCharType="separate"/>
      </w:r>
      <w:bookmarkStart w:id="34" w:name="__Fieldmark__21641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35" w:name="__Fieldmark__21640_2090204579"/>
      <w:bookmarkEnd w:id="34"/>
      <w:r>
        <w:rPr>
          <w:rFonts w:ascii="FreeSans" w:hAnsi="FreeSans"/>
        </w:rPr>
        <w:t>(Australian Commission on Safety and Quality in Health Care 2014, Prince, Wimo et al. 2015)</w:t>
      </w:r>
      <w:r>
        <w:rPr>
          <w:rFonts w:ascii="FreeSans" w:hAnsi="FreeSans"/>
        </w:rPr>
      </w:r>
      <w:r>
        <w:rPr>
          <w:rFonts w:ascii="FreeSans" w:hAnsi="FreeSans"/>
        </w:rPr>
        <w:fldChar w:fldCharType="end"/>
      </w:r>
      <w:bookmarkEnd w:id="35"/>
      <w:r>
        <w:rPr>
          <w:rFonts w:ascii="FreeSans" w:hAnsi="FreeSans"/>
        </w:rPr>
        <w:t xml:space="preserve">. People with cognitive impairment can also experience comorbidities and concomitant problems, including: undertreated pain and other symptoms; difficulty swallowing; as well as fear and agitation </w:t>
      </w:r>
      <w:r>
        <w:fldChar w:fldCharType="begin"/>
      </w:r>
      <w:r>
        <w:rPr>
          <w:rFonts w:ascii="FreeSans" w:hAnsi="FreeSans"/>
        </w:rPr>
        <w:instrText>ADDIN EN.CITE</w:instrText>
      </w:r>
      <w:r>
        <w:rPr>
          <w:rFonts w:ascii="FreeSans" w:hAnsi="FreeSans"/>
        </w:rPr>
        <w:fldChar w:fldCharType="separate"/>
      </w:r>
      <w:bookmarkStart w:id="36" w:name="__Fieldmark__21660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37" w:name="__Fieldmark__21659_2090204579"/>
      <w:bookmarkEnd w:id="36"/>
      <w:r>
        <w:rPr>
          <w:rFonts w:ascii="FreeSans" w:hAnsi="FreeSans"/>
        </w:rPr>
        <w:t>(Tan, Jokanovic et al. 2015, Wolf, Rhein et al. 2018)</w:t>
      </w:r>
      <w:r>
        <w:rPr>
          <w:rFonts w:ascii="FreeSans" w:hAnsi="FreeSans"/>
        </w:rPr>
      </w:r>
      <w:r>
        <w:rPr>
          <w:rFonts w:ascii="FreeSans" w:hAnsi="FreeSans"/>
        </w:rPr>
        <w:fldChar w:fldCharType="end"/>
      </w:r>
      <w:bookmarkEnd w:id="37"/>
      <w:r>
        <w:rPr>
          <w:rFonts w:ascii="FreeSans" w:hAnsi="FreeSans"/>
        </w:rPr>
        <w:t>.</w:t>
      </w:r>
    </w:p>
    <w:p>
      <w:pPr>
        <w:pStyle w:val="Normal"/>
        <w:spacing w:lineRule="auto" w:line="360" w:before="285" w:after="285"/>
        <w:rPr>
          <w:rFonts w:ascii="FreeSans" w:hAnsi="FreeSans"/>
        </w:rPr>
      </w:pPr>
      <w:r>
        <w:rPr>
          <w:rFonts w:ascii="FreeSans" w:hAnsi="FreeSans"/>
        </w:rPr>
        <w:t>Despite the prevalence of cognitive impairment among older people in hospital and the associated implications for them and those who care for them, dementia and delirium are under-recognised by clinicians. This has spurred the development of clinical practice guidelines and models of care, including specialised hospital units, tailored to the needs of people with cognitive impairment and their family members.</w:t>
      </w:r>
    </w:p>
    <w:p>
      <w:pPr>
        <w:pStyle w:val="Normal"/>
        <w:spacing w:lineRule="auto" w:line="360" w:before="285" w:after="285"/>
        <w:rPr>
          <w:rFonts w:eastAsia="Georgia" w:cs="Georgia"/>
          <w:szCs w:val="20"/>
        </w:rPr>
      </w:pPr>
      <w:r>
        <w:rPr>
          <w:rFonts w:ascii="FreeSans" w:hAnsi="FreeSans"/>
        </w:rPr>
        <w:t>To better understand how care is enacted and experienced within a specialised hospital unit, VRE was used to involve people with dementia and delirium, and those who support them, in research. The following section presents reflections of clinicians who assumed the role of co-researcher, given their general and local expertise.</w:t>
      </w:r>
    </w:p>
    <w:p>
      <w:pPr>
        <w:pStyle w:val="Heading2"/>
        <w:rPr>
          <w:rFonts w:eastAsia="Georgia"/>
        </w:rPr>
      </w:pPr>
      <w:bookmarkStart w:id="38" w:name="_w7bma59yzvsc"/>
      <w:bookmarkStart w:id="39" w:name="_iz6qi1go4a3t"/>
      <w:bookmarkEnd w:id="38"/>
      <w:bookmarkEnd w:id="39"/>
      <w:r>
        <w:rPr/>
        <w:t>Co-Researcher Reflections</w:t>
      </w:r>
      <w:bookmarkStart w:id="40" w:name="_tpr2i8y4gqiz"/>
      <w:bookmarkStart w:id="41" w:name="_sr0vypqvhjuf"/>
      <w:bookmarkEnd w:id="40"/>
      <w:bookmarkEnd w:id="41"/>
    </w:p>
    <w:p>
      <w:pPr>
        <w:pStyle w:val="Normal"/>
        <w:spacing w:lineRule="auto" w:line="360" w:before="285" w:after="285"/>
        <w:rPr>
          <w:rFonts w:eastAsia="Georgia" w:cs="Georgia"/>
          <w:szCs w:val="20"/>
        </w:rPr>
      </w:pPr>
      <w:r>
        <w:rPr>
          <w:rFonts w:eastAsia="Georgia" w:cs="Georgia" w:ascii="FreeSans" w:hAnsi="FreeSans"/>
          <w:szCs w:val="20"/>
        </w:rPr>
        <w:t xml:space="preserve">The study was conducted at a </w:t>
      </w:r>
      <w:r>
        <w:rPr>
          <w:rFonts w:ascii="FreeSans" w:hAnsi="FreeSans"/>
        </w:rPr>
        <w:t xml:space="preserve">specialised hospital unit in South Australia, which had operated for four years when the study commenced. Unlike other hospital units in this state, this specialised unit manages and treats </w:t>
      </w:r>
      <w:r>
        <w:rPr>
          <w:rFonts w:eastAsia="Georgia" w:cs="Georgia" w:ascii="FreeSans" w:hAnsi="FreeSans"/>
          <w:szCs w:val="20"/>
        </w:rPr>
        <w:t>acute medical conditions in an environment that is sensitive to the needs of people with cognitive impairment. Its success was demonstrated by the reduced behavioural issues among patients (and relatedly, reduced stress among family members), particularly during admission and discharge. Patients who arrived distressed and with significant issues became relaxed and less agitated. This in turn helped to quell the anxiety of family members.</w:t>
      </w:r>
    </w:p>
    <w:p>
      <w:pPr>
        <w:pStyle w:val="Normal"/>
        <w:spacing w:lineRule="auto" w:line="360" w:before="285" w:after="285"/>
        <w:rPr>
          <w:rFonts w:eastAsia="Georgia" w:cs="Georgia"/>
          <w:szCs w:val="20"/>
        </w:rPr>
      </w:pPr>
      <w:r>
        <w:rPr>
          <w:rFonts w:eastAsia="Georgia" w:cs="Georgia" w:ascii="FreeSans" w:hAnsi="FreeSans"/>
          <w:szCs w:val="20"/>
        </w:rPr>
        <w:t xml:space="preserve">These favourable experiences begged the question of how they emerged – more specifically, which ingredients enabled patients </w:t>
      </w:r>
      <w:r>
        <w:rPr>
          <w:rFonts w:ascii="FreeSans" w:hAnsi="FreeSans"/>
        </w:rPr>
        <w:t xml:space="preserve">with dementia and delirium </w:t>
      </w:r>
      <w:r>
        <w:rPr>
          <w:rFonts w:eastAsia="Georgia" w:cs="Georgia" w:ascii="FreeSans" w:hAnsi="FreeSans"/>
          <w:szCs w:val="20"/>
        </w:rPr>
        <w:t>and their family members to experience quality care? Although the staff members readily identified interventions that are likely to be effective, they struggled to articulate how they had come know that particular practices were effective and why. VRE provided a channel to understand their practices and recognise some of the ingredients that promote quality hospital-based care. This is because it harnesses local expertise, requiring organisational stakeholders to reflect and reflex to clarify what might be otherwise overlooked.</w:t>
      </w:r>
    </w:p>
    <w:p>
      <w:pPr>
        <w:pStyle w:val="Normal"/>
        <w:spacing w:lineRule="auto" w:line="360" w:before="285" w:after="285"/>
        <w:rPr>
          <w:rFonts w:eastAsia="Georgia" w:cs="Georgia"/>
          <w:szCs w:val="20"/>
        </w:rPr>
      </w:pPr>
      <w:r>
        <w:rPr>
          <w:rFonts w:eastAsia="Georgia" w:cs="Georgia" w:ascii="FreeSans" w:hAnsi="FreeSans"/>
          <w:szCs w:val="20"/>
        </w:rPr>
        <w:t xml:space="preserve">In late 2017, the unit relocated to another site – and this relocation was accompanied by an increase in patients and staff members. To sustain the quality care demonstrated at the original site, those who worked at that site recognised an urgent need to understand what had worked so well and why, with a view to share this knowledge with their new colleagues. They hoped to helpfully explain and justify why particular practices were preferred when supporting patients with </w:t>
      </w:r>
      <w:r>
        <w:rPr>
          <w:rFonts w:ascii="FreeSans" w:hAnsi="FreeSans"/>
        </w:rPr>
        <w:t xml:space="preserve">dementia and delirium, and their family members. Although role modelling </w:t>
      </w:r>
      <w:r>
        <w:rPr>
          <w:rFonts w:eastAsia="Georgia" w:cs="Georgia" w:ascii="FreeSans" w:hAnsi="FreeSans"/>
          <w:szCs w:val="20"/>
        </w:rPr>
        <w:t>can be instructive and help to orient new staff members, it did not necessarily clarify the ingredients that promote quality care, or why.</w:t>
      </w:r>
    </w:p>
    <w:p>
      <w:pPr>
        <w:pStyle w:val="Normal"/>
        <w:spacing w:lineRule="auto" w:line="360" w:before="285" w:after="285"/>
        <w:rPr>
          <w:rFonts w:eastAsia="Georgia" w:cs="Georgia"/>
          <w:szCs w:val="20"/>
        </w:rPr>
      </w:pPr>
      <w:r>
        <w:rPr>
          <w:rFonts w:eastAsia="Georgia" w:cs="Georgia" w:ascii="FreeSans" w:hAnsi="FreeSans"/>
          <w:szCs w:val="20"/>
        </w:rPr>
        <w:t xml:space="preserve">For these reasons, a series of meetings were convened with </w:t>
      </w:r>
      <w:bookmarkStart w:id="42" w:name="_GoBack"/>
      <w:bookmarkEnd w:id="42"/>
      <w:r>
        <w:rPr>
          <w:rFonts w:eastAsia="Georgia" w:cs="Georgia" w:ascii="FreeSans" w:hAnsi="FreeSans"/>
          <w:szCs w:val="20"/>
        </w:rPr>
        <w:t>staff members, irrespective of discipline or seniority, to introduce VRE and its potential. More specifically, academic and clinical members of the research team described the methodology, its participatory ethos, and the associated research methods. Staff members were encouraged to seek clarification and voice concerns, some of which pertained to the use of a video-recorder and the management of video-recordings, thereafter. To illustrate how VRE can be used, members of the research team referred to completed studies that used VRE within health services – these included studies that involved patients within an emergency department, and those receiving palliative care. Following this discussion, many staff members recognised the potential of VRE to better understand the quality care they delivered, and readily agreed to contribute, once approvals had been sourced from the relevant ethics committees.</w:t>
      </w:r>
    </w:p>
    <w:p>
      <w:pPr>
        <w:pStyle w:val="Normal"/>
        <w:spacing w:lineRule="auto" w:line="360" w:before="285" w:after="285"/>
        <w:rPr>
          <w:rFonts w:eastAsia="Georgia" w:cs="Georgia"/>
          <w:szCs w:val="20"/>
        </w:rPr>
      </w:pPr>
      <w:r>
        <w:rPr>
          <w:rFonts w:eastAsia="Georgia" w:cs="Georgia" w:ascii="FreeSans" w:hAnsi="FreeSans"/>
          <w:szCs w:val="20"/>
        </w:rPr>
        <w:t>The prompt enthusiasm of the staff members did not match the initial response of patients and their family members. They collectively expressed concerns about: ensuring informed consent; capturing behaviours that presented patients in a less-than-favourable light; privacy; and mixed interpretations among clinicians, patients, and family members of what constituted quality care. For instance, one family member lamented that not all clinicians enacted the types of care he wanted for his partner (let alone himself). Some clinicians demonstrated limited empathy for patients, and limited patience for family members who were often fatigued. These concerns might have been exacerbated by the relatively brief relationships between the family members and the staff members – be they managers, clinicians, administrators, or domestic personnel. Patient admissions were typically short-term – furthermore, as a recently established unit, family members had limited opportunity to familiarise with staff members and establish a trusting relationship with them.</w:t>
      </w:r>
    </w:p>
    <w:p>
      <w:pPr>
        <w:pStyle w:val="Normal"/>
        <w:spacing w:lineRule="auto" w:line="360" w:before="285" w:after="285"/>
        <w:rPr>
          <w:rFonts w:ascii="FreeSans" w:hAnsi="FreeSans"/>
        </w:rPr>
      </w:pPr>
      <w:r>
        <w:rPr>
          <w:rFonts w:eastAsia="Georgia" w:cs="Georgia" w:ascii="FreeSans" w:hAnsi="FreeSans"/>
          <w:szCs w:val="20"/>
        </w:rPr>
        <w:t xml:space="preserve">To helpfully address patient and family concerns, members of the research team spent time explicating the participatory ethos of VRE and the role of situated ethics. As Molyneux and Geissler </w:t>
      </w:r>
      <w:r>
        <w:fldChar w:fldCharType="begin"/>
      </w:r>
      <w:r>
        <w:rPr>
          <w:rFonts w:ascii="FreeSans" w:hAnsi="FreeSans"/>
        </w:rPr>
        <w:instrText>ADDIN EN.CITE &lt;EndNote&gt;&lt;Cite ExcludeAuth="1"&gt;&lt;Author&gt;Molyneux&lt;/Author&gt;&lt;Year&gt;2008&lt;/Year&gt;&lt;RecNum&gt;15652&lt;/RecNum&gt;&lt;DisplayText&gt;(2008)&lt;/DisplayText&gt;&lt;record&gt;&lt;rec-number&gt;15652&lt;/rec-number&gt;&lt;foreign-keys&gt;&lt;key app="EN" db-id="tvawz2wwrwafv7e50wg5wxed5rpvxvp00eds" timestamp="1540280586"&gt;15652&lt;/key&gt;&lt;/foreign-keys&gt;&lt;ref-type name="Journal Article"&gt;17&lt;/ref-type&gt;&lt;contributors&gt;&lt;authors&gt;&lt;author&gt;Molyneux, S.,&lt;/author&gt;&lt;author&gt;Geissler, P.W.,&lt;/author&gt;&lt;/authors&gt;&lt;/contributors&gt;&lt;titles&gt;&lt;title&gt;Ethics and the ethnography of medical research in Africa&lt;/title&gt;&lt;secondary-title&gt;Social Science &amp;amp; Medicine&lt;/secondary-title&gt;&lt;/titles&gt;&lt;periodical&gt;&lt;full-title&gt;Social Science &amp;amp; Medicine&lt;/full-title&gt;&lt;/periodical&gt;&lt;pages&gt;685-695&lt;/pages&gt;&lt;volume&gt;67&lt;/volume&gt;&lt;number&gt;5&lt;/number&gt;&lt;keywords&gt;&lt;keyword&gt;Consent&lt;/keyword&gt;&lt;keyword&gt;Ethics&lt;/keyword&gt;&lt;/keywords&gt;&lt;dates&gt;&lt;year&gt;2008&lt;/year&gt;&lt;/dates&gt;&lt;urls&gt;&lt;/urls&gt;&lt;research-notes&gt;https://ac-els-cdn-com.ezproxy.uws.edu.au/S0277953608001172/1-s2.0-S0277953608001172-main.pdf?_tid=8c90f2a8-52dd-47ff-a004-53ef8fa4519a&amp;amp;acdnat=1540280948_2eb84007cf9341c6bbe5f34fb33475e7&lt;/research-notes&gt;&lt;/record&gt;&lt;/Cite&gt;&lt;/EndNote&gt;</w:instrText>
      </w:r>
      <w:r>
        <w:rPr>
          <w:rFonts w:ascii="FreeSans" w:hAnsi="FreeSans"/>
        </w:rPr>
        <w:fldChar w:fldCharType="separate"/>
      </w:r>
      <w:bookmarkStart w:id="43" w:name="__Fieldmark__21806_2090204579"/>
      <w:r>
        <w:rPr>
          <w:rFonts w:ascii="FreeSans" w:hAnsi="FreeSans"/>
        </w:rPr>
      </w:r>
      <w:r>
        <w:rPr>
          <w:rFonts w:eastAsia="Georgia" w:cs="Georgia" w:ascii="FreeSans" w:hAnsi="FreeSans"/>
          <w:szCs w:val="20"/>
        </w:rPr>
        <w:t>(2008)</w:t>
      </w:r>
      <w:r>
        <w:rPr>
          <w:rFonts w:ascii="FreeSans" w:hAnsi="FreeSans"/>
        </w:rPr>
      </w:r>
      <w:r>
        <w:rPr>
          <w:rFonts w:ascii="FreeSans" w:hAnsi="FreeSans"/>
        </w:rPr>
        <w:fldChar w:fldCharType="end"/>
      </w:r>
      <w:bookmarkEnd w:id="43"/>
      <w:r>
        <w:rPr>
          <w:rFonts w:eastAsia="Georgia" w:cs="Georgia" w:ascii="FreeSans" w:hAnsi="FreeSans"/>
          <w:szCs w:val="20"/>
        </w:rPr>
        <w:t xml:space="preserve"> explained, ‘situated ethics considers the relevance and application of ethical principles and guidelines for different studies and contexts, and takes into account the realities of complex individual, institutional and national imbalances in power and resources’. More specifically, ethical research was not only to be denoted by a signed consent form – but rather, informed consent was to be regularly revisited to accommodate changes in what individuals and collectives preferred, pending the situation. As such, patients and family members could dip into, and out of the study as they wished, consenting to participate in some components of the study and not others. This approach helped to recognise the fluid the nature of dementia and delirium, whereby cognitive capacities and concentration (among patients and family members, alike) might wax and wane.</w:t>
      </w:r>
    </w:p>
    <w:p>
      <w:pPr>
        <w:pStyle w:val="Normal"/>
        <w:spacing w:lineRule="auto" w:line="360"/>
        <w:rPr>
          <w:rFonts w:eastAsia="Georgia" w:cs="Georgia"/>
          <w:szCs w:val="20"/>
        </w:rPr>
      </w:pPr>
      <w:r>
        <w:rPr>
          <w:rFonts w:eastAsia="Georgia" w:cs="Georgia" w:ascii="FreeSans" w:hAnsi="FreeSans"/>
          <w:szCs w:val="20"/>
        </w:rPr>
        <w:t>Furthermore, members of the research team worked with a family member to articulate a clear approach to respectful VRE. More specifically:</w:t>
      </w:r>
    </w:p>
    <w:p>
      <w:pPr>
        <w:pStyle w:val="ListParagraph"/>
        <w:numPr>
          <w:ilvl w:val="0"/>
          <w:numId w:val="1"/>
        </w:numPr>
        <w:spacing w:lineRule="auto" w:line="360"/>
        <w:rPr>
          <w:rFonts w:ascii="FreeSans" w:hAnsi="FreeSans"/>
        </w:rPr>
      </w:pPr>
      <w:r>
        <w:rPr>
          <w:rFonts w:ascii="FreeSans" w:hAnsi="FreeSans"/>
        </w:rPr>
        <w:t>To optimise the participation of patients and family members, a suite of research methods was to be used to encourage choice. Towards this aim, members of the research team collected data via: a video-recorder; an audio-recorder; planned and unplanned reflexive sessions; planned and unplanned interviews; as well as participant observation, ensuring researcher presence was conspicuous. Furthermore, data were collected in an array of contexts to accommodate personal and collective preferences – these included: patient rooms; the patients’ common-room; corridors; staff members’ workstations; the staff members’ meeting room, which also served as a tearoom; clinical handovers; multidisciplinary team meetings; as well as family meetings.</w:t>
      </w:r>
    </w:p>
    <w:p>
      <w:pPr>
        <w:pStyle w:val="ListParagraph"/>
        <w:numPr>
          <w:ilvl w:val="0"/>
          <w:numId w:val="1"/>
        </w:numPr>
        <w:spacing w:lineRule="auto" w:line="360"/>
        <w:rPr>
          <w:rFonts w:ascii="FreeSans" w:hAnsi="FreeSans"/>
        </w:rPr>
      </w:pPr>
      <w:r>
        <w:rPr>
          <w:rFonts w:ascii="FreeSans" w:hAnsi="FreeSans"/>
        </w:rPr>
        <w:t>Patient and family participation in the study was to be broached in a supportive environment, in the broader context of the care provided by the hospital. Towards this aim, meetings that involved patients (pending wellbeing and preference), family members, and relevant clinicians were to be arranged in the first instance to: candidly and constructively discuss patient and family wellbeing; introduce and explain the study; and invite the participation of the patient and family members, with no expectation of an immediate response. This helped to ensure patients and family members were afforded ample time to consider the study and seek further information.</w:t>
      </w:r>
    </w:p>
    <w:p>
      <w:pPr>
        <w:pStyle w:val="ListParagraph"/>
        <w:numPr>
          <w:ilvl w:val="0"/>
          <w:numId w:val="1"/>
        </w:numPr>
        <w:spacing w:lineRule="auto" w:line="360"/>
        <w:rPr>
          <w:rFonts w:eastAsia="Georgia" w:cs="Georgia"/>
          <w:szCs w:val="20"/>
        </w:rPr>
      </w:pPr>
      <w:r>
        <w:rPr>
          <w:rFonts w:ascii="FreeSans" w:hAnsi="FreeSans"/>
        </w:rPr>
        <w:t>As per the study aim, the focus of data collection (the digital recorders) and data analysis (the reflexive sessions and the analysis of ethnographic material) was organisational behaviour. Rather than interpret and critique the actions of patients and family members (many of who experienced vulnerability), members of the research team were to remain focused on the ways in which care is enacted and experienced within a specialised hospital unit.</w:t>
      </w:r>
    </w:p>
    <w:p>
      <w:pPr>
        <w:pStyle w:val="ListParagraph"/>
        <w:numPr>
          <w:ilvl w:val="0"/>
          <w:numId w:val="1"/>
        </w:numPr>
        <w:spacing w:lineRule="auto" w:line="360"/>
        <w:rPr>
          <w:rFonts w:ascii="FreeSans" w:hAnsi="FreeSans"/>
        </w:rPr>
      </w:pPr>
      <w:r>
        <w:rPr>
          <w:rFonts w:ascii="FreeSans" w:hAnsi="FreeSans"/>
        </w:rPr>
        <w:t xml:space="preserve">Beyond the immediate aim of the study, members of the research team were to continually consider ways to promote its wider benefits. Towards this aim, they would discuss with patients and family members how they might personally benefit – this potentially included the opportunity to inform how care might be improved for other patients and family members. Dementia and delirium are often associated with loss, a limited sense of control, and grief, for patients and family members, alike. As such, some appreciated the opportunity to regain some agency by contributing to a study that might moderate, if not improve the care others received. Evidently, members of the research team could not guarantee resultant changes to hospital policies or protocols. Nevertheless, they drew on </w:t>
      </w:r>
      <w:r>
        <w:rPr>
          <w:rFonts w:eastAsia="Georgia" w:cs="Georgia" w:ascii="FreeSans" w:hAnsi="FreeSans"/>
          <w:szCs w:val="20"/>
        </w:rPr>
        <w:t>completed examples of VRE within health services to explain its potential to promote nuanced understandings of care among managers and clinicians.</w:t>
      </w:r>
    </w:p>
    <w:p>
      <w:pPr>
        <w:pStyle w:val="ListParagraph"/>
        <w:numPr>
          <w:ilvl w:val="0"/>
          <w:numId w:val="1"/>
        </w:numPr>
        <w:spacing w:lineRule="auto" w:line="360" w:before="285" w:after="285"/>
        <w:contextualSpacing/>
        <w:rPr>
          <w:rFonts w:ascii="FreeSans" w:hAnsi="FreeSans"/>
        </w:rPr>
      </w:pPr>
      <w:r>
        <w:rPr>
          <w:rFonts w:ascii="FreeSans" w:hAnsi="FreeSans"/>
        </w:rPr>
        <w:t>The privacy of patients and family members was to remain paramount. Towards this aim, patients and family members were to be given clear information on the management and use of footage in which they were depicted. As such, each time footage was used, including that for a reflexive session, patients and family members were duly advised and invited to reconsider and amend the type of participation they were comfortable with.</w:t>
      </w:r>
    </w:p>
    <w:p>
      <w:pPr>
        <w:pStyle w:val="Heading1"/>
        <w:rPr>
          <w:rFonts w:eastAsia="Georgia"/>
        </w:rPr>
      </w:pPr>
      <w:r>
        <w:rPr/>
        <w:t>Discussion</w:t>
      </w:r>
    </w:p>
    <w:p>
      <w:pPr>
        <w:pStyle w:val="Normal"/>
        <w:spacing w:lineRule="auto" w:line="360" w:before="285" w:after="285"/>
        <w:rPr>
          <w:rFonts w:ascii="FreeSans" w:hAnsi="FreeSans"/>
        </w:rPr>
      </w:pPr>
      <w:r>
        <w:rPr>
          <w:rFonts w:ascii="FreeSans" w:hAnsi="FreeSans"/>
        </w:rPr>
        <w:t xml:space="preserve">Healthcare occurs within a context that is arguably more complex than ever. Consider for instance, the ways it is shaped (and strained) by: the increasing intricacies of disparate health systems, in which key performance indicators are rigidly defined; and the increasing demand for health services, particularly those that are ‘lean’ and ‘transparent’. The complexity of healthcare extends to hospital-based dementia and delirium care. In hospital, the care of patients with dementia and/or delirium cannot always be tailored, given performance indicators that direct attention to the treatment of </w:t>
      </w:r>
      <w:r>
        <w:rPr>
          <w:rFonts w:eastAsia="Georgia" w:cs="Georgia" w:ascii="FreeSans" w:hAnsi="FreeSans"/>
          <w:szCs w:val="20"/>
        </w:rPr>
        <w:t xml:space="preserve">acute medical conditions, and </w:t>
      </w:r>
      <w:r>
        <w:rPr>
          <w:rFonts w:ascii="FreeSans" w:hAnsi="FreeSans"/>
        </w:rPr>
        <w:t>patient throughput.</w:t>
      </w:r>
    </w:p>
    <w:p>
      <w:pPr>
        <w:pStyle w:val="Normal"/>
        <w:spacing w:lineRule="auto" w:line="360" w:before="285" w:after="285"/>
        <w:rPr>
          <w:rFonts w:ascii="FreeSans" w:hAnsi="FreeSans"/>
        </w:rPr>
      </w:pPr>
      <w:r>
        <w:rPr>
          <w:rFonts w:ascii="FreeSans" w:hAnsi="FreeSans"/>
        </w:rPr>
        <w:t xml:space="preserve">To redirect attention to patients and family members, the study presented in this article used VRE to encourage their participation, and that of the staff members who supported them. As a participatory and fluid methodology, VRE embraces – if not requires – complexity </w:t>
      </w:r>
      <w:r>
        <w:fldChar w:fldCharType="begin"/>
      </w:r>
      <w:r>
        <w:rPr>
          <w:rFonts w:ascii="FreeSans" w:hAnsi="FreeSans"/>
        </w:rPr>
        <w:instrText>ADDIN EN.CITE &lt;EndNote&gt;&lt;Cite&gt;&lt;Author&gt;Iedema&lt;/Author&gt;&lt;Year&gt;2018&lt;/Year&gt;&lt;RecNum&gt;15078&lt;/RecNum&gt;&lt;DisplayText&gt;(Iedema, Carroll et al. 2018)&lt;/DisplayText&gt;&lt;record&gt;&lt;rec-number&gt;15078&lt;/rec-number&gt;&lt;foreign-keys&gt;&lt;key app="EN" db-id="tvawz2wwrwafv7e50wg5wxed5rpvxvp00eds" timestamp="1524822418"&gt;15078&lt;/key&gt;&lt;/foreign-keys&gt;&lt;ref-type name="Book"&gt;6&lt;/ref-type&gt;&lt;contributors&gt;&lt;authors&gt;&lt;author&gt;Iedema, R.,&lt;/author&gt;&lt;author&gt;Carroll, K.,&lt;/author&gt;&lt;author&gt;Collier, A.,&lt;/author&gt;&lt;author&gt;Hor, S.,&lt;/author&gt;&lt;author&gt;Mesman, J.,&lt;/author&gt;&lt;author&gt;Wyer, M.,&lt;/author&gt;&lt;/authors&gt;&lt;/contributors&gt;&lt;titles&gt;&lt;title&gt;Video reflexive ethnography in health research and healthcare improvement. &lt;/title&gt;&lt;/titles&gt;&lt;keywords&gt;&lt;keyword&gt;Epistemology&lt;/keyword&gt;&lt;keyword&gt;Ethnography&lt;/keyword&gt;&lt;keyword&gt;Interpretive&lt;/keyword&gt;&lt;keyword&gt;Methodology&lt;/keyword&gt;&lt;keyword&gt;Qualitative research&lt;/keyword&gt;&lt;keyword&gt;Research design&lt;/keyword&gt;&lt;keyword&gt;Visual&lt;/keyword&gt;&lt;/keywords&gt;&lt;dates&gt;&lt;year&gt;2018&lt;/year&gt;&lt;/dates&gt;&lt;pub-location&gt;Milton Park&lt;/pub-location&gt;&lt;publisher&gt;Taylor &amp;amp; Francis&lt;/publisher&gt;&lt;urls&gt;&lt;/urls&gt;&lt;/record&gt;&lt;/Cite&gt;&lt;/EndNote&gt;</w:instrText>
      </w:r>
      <w:r>
        <w:rPr>
          <w:rFonts w:ascii="FreeSans" w:hAnsi="FreeSans"/>
        </w:rPr>
        <w:fldChar w:fldCharType="separate"/>
      </w:r>
      <w:bookmarkStart w:id="44" w:name="__Fieldmark__21942_2090204579"/>
      <w:r>
        <w:rPr>
          <w:rFonts w:ascii="FreeSans" w:hAnsi="FreeSans"/>
        </w:rPr>
        <w:t>(Iedema, Carroll et al. 2018)</w:t>
      </w:r>
      <w:r>
        <w:rPr>
          <w:rFonts w:ascii="FreeSans" w:hAnsi="FreeSans"/>
        </w:rPr>
      </w:r>
      <w:r>
        <w:rPr>
          <w:rFonts w:ascii="FreeSans" w:hAnsi="FreeSans"/>
        </w:rPr>
        <w:fldChar w:fldCharType="end"/>
      </w:r>
      <w:bookmarkEnd w:id="44"/>
      <w:r>
        <w:rPr>
          <w:rFonts w:ascii="FreeSans" w:hAnsi="FreeSans"/>
        </w:rPr>
        <w:t xml:space="preserve">. It was therefore well-suited to this study, which aimed to clarify what constitutes </w:t>
      </w:r>
      <w:r>
        <w:rPr>
          <w:rFonts w:eastAsia="Georgia" w:cs="Georgia" w:ascii="FreeSans" w:hAnsi="FreeSans"/>
          <w:szCs w:val="20"/>
        </w:rPr>
        <w:t>quality dementia and delirium care in hospital. To achieve this aim, it was important to situate patients, family members, and staff members at the centre of the study, given their expertise. This meant (re)moulding VRE to accommodate their concerns and changing preferences – from the inception of the study, to its completion. And doing so required trusting relationships between patients, family members, staff members, and the research team, which were gently nurtured.</w:t>
      </w:r>
    </w:p>
    <w:p>
      <w:pPr>
        <w:pStyle w:val="Normal"/>
        <w:spacing w:lineRule="auto" w:line="360" w:before="285" w:after="285"/>
        <w:rPr>
          <w:rFonts w:ascii="FreeSans" w:hAnsi="FreeSans"/>
        </w:rPr>
      </w:pPr>
      <w:r>
        <w:rPr>
          <w:rFonts w:ascii="FreeSans" w:hAnsi="FreeSans"/>
        </w:rPr>
        <w:t xml:space="preserve">At the inception of this study, staff members were uncertain (if not dubious) about whether and how VRE could be used in a hospital unit, tailored to the needs of people with cognitive impairment and their family members. Yet they struggled to identify alternative methodologies that might help to reveal what they could not readily articulate – namely, what enabled them to deliver </w:t>
      </w:r>
      <w:r>
        <w:rPr>
          <w:rFonts w:eastAsia="Georgia" w:cs="Georgia" w:ascii="FreeSans" w:hAnsi="FreeSans"/>
          <w:szCs w:val="20"/>
        </w:rPr>
        <w:t xml:space="preserve">quality dementia and delirium care, and why? Habituated to their routine practices, they simply declared, </w:t>
      </w:r>
      <w:r>
        <w:rPr>
          <w:rFonts w:ascii="FreeSans" w:hAnsi="FreeSans"/>
        </w:rPr>
        <w:t xml:space="preserve">‘That’s just what we do’. However, impelled by organisational changes – notably, a relocation, and </w:t>
      </w:r>
      <w:r>
        <w:rPr>
          <w:rFonts w:eastAsia="Georgia" w:cs="Georgia" w:ascii="FreeSans" w:hAnsi="FreeSans"/>
          <w:szCs w:val="20"/>
        </w:rPr>
        <w:t>an increase in patients and staff members – they recognised an urgent need to learn from themselves and each other. VRE offered an opportunity to (re)</w:t>
      </w:r>
      <w:r>
        <w:rPr>
          <w:rFonts w:ascii="FreeSans" w:hAnsi="FreeSans"/>
        </w:rPr>
        <w:t xml:space="preserve">view how their practices unfolded and the conditions that shaped them. This in turn enabled them to distil </w:t>
      </w:r>
      <w:r>
        <w:rPr>
          <w:rFonts w:eastAsia="Georgia" w:cs="Georgia" w:ascii="FreeSans" w:hAnsi="FreeSans"/>
          <w:szCs w:val="20"/>
        </w:rPr>
        <w:t xml:space="preserve">some of the ingredients that promote quality care and why. More specifically, </w:t>
      </w:r>
      <w:r>
        <w:rPr>
          <w:rFonts w:ascii="FreeSans" w:hAnsi="FreeSans"/>
        </w:rPr>
        <w:t>VRE helped to unveil nuances within their practices, particularly those that had become routine. Although beyond the focus of this article, these practices included: the ways that leadership was implicitly shared within the team; and how every interaction mattered, even those that were non-verbal or deemed to be trivial. Furthermore, the study continues to promote capacity building among clinicians. Given the mass of video-recordings, these are sometimes used to exemplify quality care to those with limited experience in dementia and delirium care, pending the informed consent of those depicted in the footage.</w:t>
      </w:r>
    </w:p>
    <w:p>
      <w:pPr>
        <w:pStyle w:val="Normal"/>
        <w:spacing w:lineRule="auto" w:line="360" w:before="285" w:after="285"/>
        <w:rPr>
          <w:rFonts w:ascii="FreeSans" w:hAnsi="FreeSans"/>
        </w:rPr>
      </w:pPr>
      <w:r>
        <w:rPr>
          <w:rFonts w:ascii="FreeSans" w:hAnsi="FreeSans"/>
        </w:rPr>
        <w:t>As the reflections illustrate, VRE is not for the fainthearted. In addition to the approval of relevant ethics committees, it required regular, respectful conversations to ensure each organisational stakeholder was comfortable with VRE and how it was (re)moulded. This influenced: the ways the study was introduced and described; how informed consent was ensured; the use of particular research methods; as well as how data were managed, used, and analysed. This highlights the need to balance the structure and clarity typically required by ethics committees, with the fluidity of participatory approaches, like VRE. Conceivably, it is only through this balance will it be possible to optimise research participation among the growing number of people with cognitive impairment, their family members, and the staff members who support them. The democratising nature of VRE represents one avenue to respectfully find this balance.</w:t>
      </w:r>
    </w:p>
    <w:p>
      <w:pPr>
        <w:pStyle w:val="Normal"/>
        <w:spacing w:lineRule="auto" w:line="360"/>
        <w:rPr>
          <w:rFonts w:ascii="FreeSans" w:hAnsi="FreeSans"/>
        </w:rPr>
      </w:pPr>
      <w:r>
        <w:rPr>
          <w:rFonts w:ascii="FreeSans" w:hAnsi="FreeSans"/>
        </w:rPr>
        <w:t xml:space="preserve">Returning to the title of this article, and extending </w:t>
      </w:r>
      <w:r>
        <w:rPr>
          <w:rFonts w:ascii="FreeSans" w:hAnsi="FreeSans"/>
          <w:lang w:eastAsia="en-AU"/>
        </w:rPr>
        <w:t xml:space="preserve">extant literature </w:t>
      </w:r>
      <w:r>
        <w:fldChar w:fldCharType="begin"/>
      </w:r>
      <w:r>
        <w:rPr>
          <w:rFonts w:ascii="FreeSans" w:hAnsi="FreeSans"/>
        </w:rPr>
        <w:instrText>ADDIN EN.CITE</w:instrText>
      </w:r>
      <w:r>
        <w:rPr>
          <w:rFonts w:ascii="FreeSans" w:hAnsi="FreeSans"/>
        </w:rPr>
        <w:fldChar w:fldCharType="separate"/>
      </w:r>
      <w:bookmarkStart w:id="45" w:name="__Fieldmark__22055_2090204579"/>
      <w:r>
        <w:rPr>
          <w:rFonts w:ascii="FreeSans" w:hAnsi="FreeSans"/>
        </w:rPr>
      </w:r>
      <w:r>
        <w:rPr>
          <w:rFonts w:ascii="FreeSans" w:hAnsi="FreeSans"/>
        </w:rPr>
      </w:r>
      <w:r>
        <w:rPr>
          <w:rFonts w:ascii="FreeSans" w:hAnsi="FreeSans"/>
        </w:rPr>
        <w:fldChar w:fldCharType="end"/>
      </w:r>
      <w:r>
        <w:fldChar w:fldCharType="begin"/>
      </w:r>
      <w:r>
        <w:rPr>
          <w:rFonts w:ascii="FreeSans" w:hAnsi="FreeSans"/>
        </w:rPr>
        <w:instrText>ADDIN EN.CITE.DATA</w:instrText>
      </w:r>
      <w:r>
        <w:rPr>
          <w:rFonts w:ascii="FreeSans" w:hAnsi="FreeSans"/>
        </w:rPr>
        <w:fldChar w:fldCharType="separate"/>
      </w:r>
      <w:bookmarkStart w:id="46" w:name="__Fieldmark__22054_2090204579"/>
      <w:bookmarkEnd w:id="45"/>
      <w:r>
        <w:rPr>
          <w:rFonts w:ascii="FreeSans" w:hAnsi="FreeSans"/>
        </w:rPr>
      </w:r>
      <w:r>
        <w:rPr>
          <w:rFonts w:ascii="FreeSans" w:hAnsi="FreeSans"/>
          <w:lang w:eastAsia="en-AU"/>
        </w:rPr>
        <w:t>(Slaughter, Cole et al. 2007, Murphy, Jordan et al. 2014, Hung, Phinney et al. 2018)</w:t>
      </w:r>
      <w:r>
        <w:rPr>
          <w:rFonts w:ascii="FreeSans" w:hAnsi="FreeSans"/>
        </w:rPr>
      </w:r>
      <w:r>
        <w:rPr>
          <w:rFonts w:ascii="FreeSans" w:hAnsi="FreeSans"/>
        </w:rPr>
        <w:fldChar w:fldCharType="end"/>
      </w:r>
      <w:bookmarkEnd w:id="46"/>
      <w:r>
        <w:rPr>
          <w:rFonts w:ascii="FreeSans" w:hAnsi="FreeSans"/>
          <w:lang w:eastAsia="en-AU"/>
        </w:rPr>
        <w:t>, t</w:t>
      </w:r>
      <w:r>
        <w:rPr>
          <w:rFonts w:ascii="FreeSans" w:hAnsi="FreeSans"/>
        </w:rPr>
        <w:t xml:space="preserve">his article demonstrates that VRE in hospital with people with dementia and delirium </w:t>
      </w:r>
      <w:r>
        <w:rPr>
          <w:rFonts w:ascii="FreeSans" w:hAnsi="FreeSans"/>
          <w:i/>
        </w:rPr>
        <w:t>can</w:t>
      </w:r>
      <w:r>
        <w:rPr>
          <w:rFonts w:ascii="FreeSans" w:hAnsi="FreeSans"/>
        </w:rPr>
        <w:t xml:space="preserve"> be done. Despite the associated challenges, there is an urgent need to improve the care of people with cognitive impairment and their family members – this follows: ageing populations, worldwide; the rise of chronic and multimorbid health issues; the burden of care among family members; and constrained healthcare budgets. Focused on bottom-up learning and innovation, VRE can encourage organisational stakeholders to participate in ‘</w:t>
      </w:r>
      <w:r>
        <w:rPr>
          <w:rFonts w:ascii="FreeSans" w:hAnsi="FreeSans"/>
          <w:i/>
        </w:rPr>
        <w:t>complexity-sensitive</w:t>
      </w:r>
      <w:r>
        <w:rPr>
          <w:rFonts w:ascii="FreeSans" w:hAnsi="FreeSans"/>
        </w:rPr>
        <w:t xml:space="preserve"> deliberations, </w:t>
      </w:r>
      <w:r>
        <w:rPr>
          <w:rFonts w:ascii="FreeSans" w:hAnsi="FreeSans"/>
          <w:i/>
        </w:rPr>
        <w:t>complexity-competent</w:t>
      </w:r>
      <w:r>
        <w:rPr>
          <w:rFonts w:ascii="FreeSans" w:hAnsi="FreeSans"/>
        </w:rPr>
        <w:t xml:space="preserve"> modes of learning and </w:t>
      </w:r>
      <w:r>
        <w:rPr>
          <w:rFonts w:ascii="FreeSans" w:hAnsi="FreeSans"/>
          <w:i/>
        </w:rPr>
        <w:t>complexity-pertinent</w:t>
      </w:r>
      <w:r>
        <w:rPr>
          <w:rFonts w:ascii="FreeSans" w:hAnsi="FreeSans"/>
        </w:rPr>
        <w:t xml:space="preserve"> ways forward’ </w:t>
      </w:r>
      <w:r>
        <w:fldChar w:fldCharType="begin"/>
      </w:r>
      <w:r>
        <w:rPr>
          <w:rFonts w:ascii="FreeSans" w:hAnsi="FreeSans"/>
        </w:rPr>
        <w:instrText>ADDIN EN.CITE &lt;EndNote&gt;&lt;Cite&gt;&lt;Author&gt;Iedema&lt;/Author&gt;&lt;Year&gt;2018&lt;/Year&gt;&lt;RecNum&gt;15650&lt;/RecNum&gt;&lt;Suffix&gt;`, original italics&lt;/Suffix&gt;&lt;DisplayText&gt;(Iedema 2018, original italics)&lt;/DisplayText&gt;&lt;record&gt;&lt;rec-number&gt;15650&lt;/rec-number&gt;&lt;foreign-keys&gt;&lt;key app="EN" db-id="tvawz2wwrwafv7e50wg5wxed5rpvxvp00eds" timestamp="1540265590"&gt;15650&lt;/key&gt;&lt;/foreign-keys&gt;&lt;ref-type name="Journal Article"&gt;17&lt;/ref-type&gt;&lt;contributors&gt;&lt;authors&gt;&lt;author&gt;Iedema, R.,&lt;/author&gt;&lt;/authors&gt;&lt;/contributors&gt;&lt;titles&gt;&lt;title&gt;Research paradigm that tackles the complexity of in situ care: Video reflexivity&lt;/title&gt;&lt;secondary-title&gt;BMJ Quality &amp;amp; Safety&lt;/secondary-title&gt;&lt;/titles&gt;&lt;periodical&gt;&lt;full-title&gt;BMJ Quality &amp;amp; Safety&lt;/full-title&gt;&lt;/periodical&gt;&lt;pages&gt;1-2&lt;/pages&gt;&lt;volume&gt;Epub-ahead-of-print&lt;/volume&gt;&lt;keywords&gt;&lt;keyword&gt;Knowledge transfer&lt;/keyword&gt;&lt;keyword&gt;Practice development framework&lt;/keyword&gt;&lt;keyword&gt;Theory&lt;/keyword&gt;&lt;keyword&gt;Translation&lt;/keyword&gt;&lt;keyword&gt;Video recording&lt;/keyword&gt;&lt;keyword&gt;VRE&lt;/keyword&gt;&lt;/keywords&gt;&lt;dates&gt;&lt;year&gt;2018&lt;/year&gt;&lt;/dates&gt;&lt;urls&gt;&lt;/urls&gt;&lt;research-notes&gt;https://qualitysafety.bmj.com/content/qhc/early/2018/10/11/bmjqs-2018-008778.full.pdf&lt;/research-notes&gt;&lt;/record&gt;&lt;/Cite&gt;&lt;/EndNote&gt;</w:instrText>
      </w:r>
      <w:r>
        <w:rPr>
          <w:rFonts w:ascii="FreeSans" w:hAnsi="FreeSans"/>
        </w:rPr>
        <w:fldChar w:fldCharType="separate"/>
      </w:r>
      <w:bookmarkStart w:id="47" w:name="__Fieldmark__22091_2090204579"/>
      <w:r>
        <w:rPr>
          <w:rFonts w:ascii="FreeSans" w:hAnsi="FreeSans"/>
        </w:rPr>
        <w:t>(Iedema 2018, original italics)</w:t>
      </w:r>
      <w:r>
        <w:rPr>
          <w:rFonts w:ascii="FreeSans" w:hAnsi="FreeSans"/>
        </w:rPr>
      </w:r>
      <w:r>
        <w:rPr>
          <w:rFonts w:ascii="FreeSans" w:hAnsi="FreeSans"/>
        </w:rPr>
        <w:fldChar w:fldCharType="end"/>
      </w:r>
      <w:bookmarkEnd w:id="47"/>
      <w:r>
        <w:rPr>
          <w:rFonts w:ascii="FreeSans" w:hAnsi="FreeSans"/>
        </w:rPr>
        <w:t>, rather than passively watch the research conducted by external parties.</w:t>
      </w:r>
    </w:p>
    <w:p>
      <w:pPr>
        <w:pStyle w:val="Heading1"/>
        <w:spacing w:lineRule="auto" w:line="360"/>
        <w:rPr>
          <w:rFonts w:ascii="FreeSans" w:hAnsi="FreeSans"/>
        </w:rPr>
      </w:pPr>
      <w:r>
        <w:rPr/>
      </w:r>
    </w:p>
    <w:p>
      <w:pPr>
        <w:pStyle w:val="Heading1"/>
        <w:rPr/>
      </w:pPr>
      <w:r>
        <w:rPr/>
        <w:t>References</w:t>
      </w:r>
    </w:p>
    <w:p>
      <w:pPr>
        <w:pStyle w:val="EndNoteBibliography"/>
        <w:spacing w:lineRule="auto" w:line="360" w:before="0" w:after="0"/>
        <w:rPr>
          <w:rFonts w:ascii="FreeSans" w:hAnsi="FreeSans"/>
        </w:rPr>
      </w:pPr>
      <w:r>
        <w:fldChar w:fldCharType="begin"/>
      </w:r>
      <w:r>
        <w:rPr>
          <w:rFonts w:ascii="FreeSans" w:hAnsi="FreeSans"/>
        </w:rPr>
        <w:instrText>ADDIN EN.REFLIST</w:instrText>
      </w:r>
      <w:r>
        <w:rPr>
          <w:rFonts w:ascii="FreeSans" w:hAnsi="FreeSans"/>
        </w:rPr>
        <w:fldChar w:fldCharType="separate"/>
      </w:r>
      <w:bookmarkStart w:id="48" w:name="__Fieldmark__22104_2090204579"/>
      <w:r>
        <w:rPr>
          <w:rFonts w:ascii="FreeSans" w:hAnsi="FreeSans"/>
        </w:rPr>
        <w:t>AIHW (Australian Institute for Health and Welfare) (2013). Dementia care in hospitals: Costs and strategies. Canberra, ACT, AIHW (Australian Institute for Health and Welfare).</w:t>
      </w:r>
    </w:p>
    <w:p>
      <w:pPr>
        <w:pStyle w:val="EndNoteBibliography"/>
        <w:spacing w:lineRule="auto" w:line="360" w:before="0" w:after="0"/>
        <w:rPr>
          <w:rFonts w:ascii="FreeSans" w:hAnsi="FreeSans"/>
        </w:rPr>
      </w:pPr>
      <w:bookmarkStart w:id="49" w:name="__Fieldmark__22104_2090204579"/>
      <w:r>
        <w:rPr>
          <w:rFonts w:ascii="FreeSans" w:hAnsi="FreeSans"/>
        </w:rPr>
      </w:r>
      <w:r>
        <w:rPr>
          <w:rFonts w:ascii="FreeSans" w:hAnsi="FreeSans"/>
        </w:rPr>
        <w:fldChar w:fldCharType="end"/>
      </w:r>
      <w:bookmarkEnd w:id="49"/>
    </w:p>
    <w:p>
      <w:pPr>
        <w:pStyle w:val="EndNoteBibliography"/>
        <w:spacing w:lineRule="auto" w:line="360" w:before="0" w:after="0"/>
        <w:rPr>
          <w:rFonts w:ascii="FreeSans" w:hAnsi="FreeSans"/>
        </w:rPr>
      </w:pPr>
      <w:r>
        <w:rPr>
          <w:rFonts w:ascii="FreeSans" w:hAnsi="FreeSans"/>
        </w:rPr>
        <w:t xml:space="preserve">Alvesson, M. and J. Sandberg (2011). "Generating research questions through problematization." </w:t>
      </w:r>
      <w:r>
        <w:rPr>
          <w:rFonts w:ascii="FreeSans" w:hAnsi="FreeSans"/>
          <w:u w:val="single"/>
        </w:rPr>
        <w:t>Academy of Management Review</w:t>
      </w:r>
      <w:r>
        <w:rPr>
          <w:rFonts w:ascii="FreeSans" w:hAnsi="FreeSans"/>
        </w:rPr>
        <w:t xml:space="preserve"> </w:t>
      </w:r>
      <w:r>
        <w:rPr>
          <w:rFonts w:ascii="FreeSans" w:hAnsi="FreeSans"/>
          <w:b/>
        </w:rPr>
        <w:t>36</w:t>
      </w:r>
      <w:r>
        <w:rPr>
          <w:rFonts w:ascii="FreeSans" w:hAnsi="FreeSans"/>
        </w:rPr>
        <w:t>(2): 247-271.</w:t>
      </w:r>
    </w:p>
    <w:p>
      <w:pPr>
        <w:pStyle w:val="EndNoteBibliography"/>
        <w:spacing w:lineRule="auto" w:line="360" w:before="0" w:after="0"/>
        <w:rPr>
          <w:rFonts w:ascii="FreeSans" w:hAnsi="FreeSans"/>
        </w:rPr>
      </w:pPr>
      <w:r>
        <w:rPr>
          <w:rFonts w:ascii="FreeSans" w:hAnsi="FreeSans"/>
        </w:rPr>
        <w:t>Australian Commission on Safety and Quality in Health Care (2014). A better way to care: Safe and high-quality care for patients with cognitive impairment (dementia and delirium) in hospital - Actions for health service managers. Sydney, Australian Commission on Safety and Quality in Health Care.</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Bartlett, R., R. Milne and R. Croucher (2018). "Strategies to improve recruitment of people with dementia to research studies." </w:t>
      </w:r>
      <w:r>
        <w:rPr>
          <w:rFonts w:ascii="FreeSans" w:hAnsi="FreeSans"/>
          <w:u w:val="single"/>
        </w:rPr>
        <w:t>Dementia</w:t>
      </w:r>
      <w:r>
        <w:rPr>
          <w:rFonts w:ascii="FreeSans" w:hAnsi="FreeSans"/>
        </w:rPr>
        <w:t xml:space="preserve"> </w:t>
      </w:r>
      <w:r>
        <w:rPr>
          <w:rFonts w:ascii="FreeSans" w:hAnsi="FreeSans"/>
          <w:b/>
        </w:rPr>
        <w:t>Epub-ahead-of-print</w:t>
      </w:r>
      <w:r>
        <w:rPr>
          <w:rFonts w:ascii="FreeSans" w:hAnsi="FreeSans"/>
        </w:rPr>
        <w:t>: 1-11.</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Benjamin-Thomas, T. E., D. Laliberte Rudman, D. Cameron and B. Batorowicz (2018). "Participatory digital methodologies: Potential of three approaches for advancing transformative occupation-based research with children and youth." </w:t>
      </w:r>
      <w:r>
        <w:rPr>
          <w:rFonts w:ascii="FreeSans" w:hAnsi="FreeSans"/>
          <w:u w:val="single"/>
        </w:rPr>
        <w:t>Journal of Occupational Science</w:t>
      </w:r>
      <w:r>
        <w:rPr>
          <w:rFonts w:ascii="FreeSans" w:hAnsi="FreeSans"/>
        </w:rPr>
        <w:t xml:space="preserve"> </w:t>
      </w:r>
      <w:r>
        <w:rPr>
          <w:rFonts w:ascii="FreeSans" w:hAnsi="FreeSans"/>
          <w:b/>
        </w:rPr>
        <w:t>Epub-ahead-of-print</w:t>
      </w:r>
      <w:r>
        <w:rPr>
          <w:rFonts w:ascii="FreeSans" w:hAnsi="FreeSans"/>
        </w:rPr>
        <w:t>: 1-16.</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Brown, A., N. Ramsay, M. Milo, M. Moore and R. Hossain (2018). "How research-based theatre is a solution for community engagement and advocacy at regional medical campuses: The health and equity through advocacy, research, and theatre (HEART) program." </w:t>
      </w:r>
      <w:r>
        <w:rPr>
          <w:rFonts w:ascii="FreeSans" w:hAnsi="FreeSans"/>
          <w:u w:val="single"/>
        </w:rPr>
        <w:t>Canadian Medical Education Journal</w:t>
      </w:r>
      <w:r>
        <w:rPr>
          <w:rFonts w:ascii="FreeSans" w:hAnsi="FreeSans"/>
        </w:rPr>
        <w:t xml:space="preserve"> </w:t>
      </w:r>
      <w:r>
        <w:rPr>
          <w:rFonts w:ascii="FreeSans" w:hAnsi="FreeSans"/>
          <w:b/>
        </w:rPr>
        <w:t>9</w:t>
      </w:r>
      <w:r>
        <w:rPr>
          <w:rFonts w:ascii="FreeSans" w:hAnsi="FreeSans"/>
        </w:rPr>
        <w:t>(1): e6-e13.</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Chertkow, H. (2018). "An action plan to face the challenge of dementia: International statement on dementia from IAP for health." </w:t>
      </w:r>
      <w:r>
        <w:rPr>
          <w:rFonts w:ascii="FreeSans" w:hAnsi="FreeSans"/>
          <w:u w:val="single"/>
        </w:rPr>
        <w:t>Journal of Prevention of Alzheimer's disease</w:t>
      </w:r>
      <w:r>
        <w:rPr>
          <w:rFonts w:ascii="FreeSans" w:hAnsi="FreeSans"/>
        </w:rPr>
        <w:t xml:space="preserve"> </w:t>
      </w:r>
      <w:r>
        <w:rPr>
          <w:rFonts w:ascii="FreeSans" w:hAnsi="FreeSans"/>
          <w:b/>
        </w:rPr>
        <w:t>5</w:t>
      </w:r>
      <w:r>
        <w:rPr>
          <w:rFonts w:ascii="FreeSans" w:hAnsi="FreeSans"/>
        </w:rPr>
        <w:t>(3): 207-212.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Day, J., I. Higgins and T. Koch (2009). "The process of practice redesign in delirium care for hospitalised older people: A participatory action research study." </w:t>
      </w:r>
      <w:r>
        <w:rPr>
          <w:rFonts w:ascii="FreeSans" w:hAnsi="FreeSans"/>
          <w:u w:val="single"/>
        </w:rPr>
        <w:t>International Journal of Nursing Studies</w:t>
      </w:r>
      <w:r>
        <w:rPr>
          <w:rFonts w:ascii="FreeSans" w:hAnsi="FreeSans"/>
        </w:rPr>
        <w:t xml:space="preserve"> </w:t>
      </w:r>
      <w:r>
        <w:rPr>
          <w:rFonts w:ascii="FreeSans" w:hAnsi="FreeSans"/>
          <w:b/>
        </w:rPr>
        <w:t>46</w:t>
      </w:r>
      <w:r>
        <w:rPr>
          <w:rFonts w:ascii="FreeSans" w:hAnsi="FreeSans"/>
        </w:rPr>
        <w:t>(1): 13-22.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Denzin, N. K. and Y. S. Lincoln (1998). Introduction: Entering the field of qualitative research. </w:t>
      </w:r>
      <w:r>
        <w:rPr>
          <w:rFonts w:ascii="FreeSans" w:hAnsi="FreeSans"/>
          <w:u w:val="single"/>
        </w:rPr>
        <w:t>Strategies of qualitative inquiry</w:t>
      </w:r>
      <w:r>
        <w:rPr>
          <w:rFonts w:ascii="FreeSans" w:hAnsi="FreeSans"/>
        </w:rPr>
        <w:t>. N. K. Denzin and Y. S. Lincoln. Newbury Park, CA, Sage Publications</w:t>
      </w:r>
      <w:r>
        <w:rPr>
          <w:rFonts w:ascii="FreeSans" w:hAnsi="FreeSans"/>
          <w:b/>
        </w:rPr>
        <w:t xml:space="preserve">: </w:t>
      </w:r>
      <w:r>
        <w:rPr>
          <w:rFonts w:ascii="FreeSans" w:hAnsi="FreeSans"/>
        </w:rPr>
        <w:t>1-34.</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Dewing, J. (2007). "Participatory research: A method for process consent with persons who have dementia." </w:t>
      </w:r>
      <w:r>
        <w:rPr>
          <w:rFonts w:ascii="FreeSans" w:hAnsi="FreeSans"/>
          <w:u w:val="single"/>
        </w:rPr>
        <w:t>Dementia</w:t>
      </w:r>
      <w:r>
        <w:rPr>
          <w:rFonts w:ascii="FreeSans" w:hAnsi="FreeSans"/>
        </w:rPr>
        <w:t xml:space="preserve"> </w:t>
      </w:r>
      <w:r>
        <w:rPr>
          <w:rFonts w:ascii="FreeSans" w:hAnsi="FreeSans"/>
          <w:b/>
        </w:rPr>
        <w:t>6</w:t>
      </w:r>
      <w:r>
        <w:rPr>
          <w:rFonts w:ascii="FreeSans" w:hAnsi="FreeSans"/>
        </w:rPr>
        <w:t>(1): 11-25.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Di Lorito, C., L. Birt, F. Poland, E. Csipke, D. Gove, A. Diaz-Ponce and M. Orrell (2017). "A synthesis of the evidence on peer research with potentially vulnerable adults: How this relates to dementia." </w:t>
      </w:r>
      <w:r>
        <w:rPr>
          <w:rFonts w:ascii="FreeSans" w:hAnsi="FreeSans"/>
          <w:u w:val="single"/>
        </w:rPr>
        <w:t>International Journal of Geriatric Psychiatry</w:t>
      </w:r>
      <w:r>
        <w:rPr>
          <w:rFonts w:ascii="FreeSans" w:hAnsi="FreeSans"/>
        </w:rPr>
        <w:t xml:space="preserve"> </w:t>
      </w:r>
      <w:r>
        <w:rPr>
          <w:rFonts w:ascii="FreeSans" w:hAnsi="FreeSans"/>
          <w:b/>
        </w:rPr>
        <w:t>32</w:t>
      </w:r>
      <w:r>
        <w:rPr>
          <w:rFonts w:ascii="FreeSans" w:hAnsi="FreeSans"/>
        </w:rPr>
        <w:t>(1): 58-67.</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Godfrey, M., J. Smith, J. Green, F. Cheater, S. K. Inouye and J. B. Young (2013). "Developing and implementing an integrated delirium prevention system of care: A theory driven, participatory research study." </w:t>
      </w:r>
      <w:r>
        <w:rPr>
          <w:rFonts w:ascii="FreeSans" w:hAnsi="FreeSans"/>
          <w:u w:val="single"/>
        </w:rPr>
        <w:t>BMC Health Services Research</w:t>
      </w:r>
      <w:r>
        <w:rPr>
          <w:rFonts w:ascii="FreeSans" w:hAnsi="FreeSans"/>
        </w:rPr>
        <w:t xml:space="preserve"> </w:t>
      </w:r>
      <w:r>
        <w:rPr>
          <w:rFonts w:ascii="FreeSans" w:hAnsi="FreeSans"/>
          <w:b/>
        </w:rPr>
        <w:t>13</w:t>
      </w:r>
      <w:r>
        <w:rPr>
          <w:rFonts w:ascii="FreeSans" w:hAnsi="FreeSans"/>
        </w:rPr>
        <w:t>(341): 1-15.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Han, H. J. and J. Suyama (2018). "Delerium and dementia." </w:t>
      </w:r>
      <w:r>
        <w:rPr>
          <w:rFonts w:ascii="FreeSans" w:hAnsi="FreeSans"/>
          <w:u w:val="single"/>
        </w:rPr>
        <w:t>Clinics in Geriatric Medicine</w:t>
      </w:r>
      <w:r>
        <w:rPr>
          <w:rFonts w:ascii="FreeSans" w:hAnsi="FreeSans"/>
        </w:rPr>
        <w:t xml:space="preserve"> </w:t>
      </w:r>
      <w:r>
        <w:rPr>
          <w:rFonts w:ascii="FreeSans" w:hAnsi="FreeSans"/>
          <w:b/>
        </w:rPr>
        <w:t>34</w:t>
      </w:r>
      <w:r>
        <w:rPr>
          <w:rFonts w:ascii="FreeSans" w:hAnsi="FreeSans"/>
        </w:rPr>
        <w:t>(3): 327-354.</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Hendriks, N., L. Huybrechts, A. Wilkinson and K. Slegers (2014). </w:t>
      </w:r>
      <w:r>
        <w:rPr>
          <w:rFonts w:ascii="FreeSans" w:hAnsi="FreeSans"/>
          <w:u w:val="single"/>
        </w:rPr>
        <w:t>Challenges in doing participatory design with people with dementia</w:t>
      </w:r>
      <w:r>
        <w:rPr>
          <w:rFonts w:ascii="FreeSans" w:hAnsi="FreeSans"/>
        </w:rPr>
        <w:t>. Participatory Design Conference, Windhoek, Namibia.</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Hubbard, G., M. G. Downs and S. Tester (2003). "Including older people with dementia in research: Challenges and strategies." </w:t>
      </w:r>
      <w:r>
        <w:rPr>
          <w:rFonts w:ascii="FreeSans" w:hAnsi="FreeSans"/>
          <w:u w:val="single"/>
        </w:rPr>
        <w:t>Aging and Mental Health</w:t>
      </w:r>
      <w:r>
        <w:rPr>
          <w:rFonts w:ascii="FreeSans" w:hAnsi="FreeSans"/>
        </w:rPr>
        <w:t xml:space="preserve"> </w:t>
      </w:r>
      <w:r>
        <w:rPr>
          <w:rFonts w:ascii="FreeSans" w:hAnsi="FreeSans"/>
          <w:b/>
        </w:rPr>
        <w:t>7</w:t>
      </w:r>
      <w:r>
        <w:rPr>
          <w:rFonts w:ascii="FreeSans" w:hAnsi="FreeSans"/>
        </w:rPr>
        <w:t>(5): 351-362.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Hung, L., A. Phinney, H. Chaudhury and P. Rodney (2018). "Using video-reflexive ethnography to engage hospital staff to improve dementia care." </w:t>
      </w:r>
      <w:r>
        <w:rPr>
          <w:rFonts w:ascii="FreeSans" w:hAnsi="FreeSans"/>
          <w:u w:val="single"/>
        </w:rPr>
        <w:t>Global Qualitative Nursing Research</w:t>
      </w:r>
      <w:r>
        <w:rPr>
          <w:rFonts w:ascii="FreeSans" w:hAnsi="FreeSans"/>
        </w:rPr>
        <w:t xml:space="preserve"> </w:t>
      </w:r>
      <w:r>
        <w:rPr>
          <w:rFonts w:ascii="FreeSans" w:hAnsi="FreeSans"/>
          <w:b/>
        </w:rPr>
        <w:t>5</w:t>
      </w:r>
      <w:r>
        <w:rPr>
          <w:rFonts w:ascii="FreeSans" w:hAnsi="FreeSans"/>
        </w:rPr>
        <w:t>: 1-10.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Iedema, R. (2018). "Research paradigm that tackles the complexity of in situ care: Video reflexivity." </w:t>
      </w:r>
      <w:r>
        <w:rPr>
          <w:rFonts w:ascii="FreeSans" w:hAnsi="FreeSans"/>
          <w:u w:val="single"/>
        </w:rPr>
        <w:t>BMJ Quality &amp; Safety</w:t>
      </w:r>
      <w:r>
        <w:rPr>
          <w:rFonts w:ascii="FreeSans" w:hAnsi="FreeSans"/>
        </w:rPr>
        <w:t xml:space="preserve"> </w:t>
      </w:r>
      <w:r>
        <w:rPr>
          <w:rFonts w:ascii="FreeSans" w:hAnsi="FreeSans"/>
          <w:b/>
        </w:rPr>
        <w:t>Epub-ahead-of-print</w:t>
      </w:r>
      <w:r>
        <w:rPr>
          <w:rFonts w:ascii="FreeSans" w:hAnsi="FreeSans"/>
        </w:rPr>
        <w:t>: 1-2.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Iedema, R., K. Carroll, A. Collier, S. Hor, J. Mesman and M. Wyer (2018). </w:t>
      </w:r>
      <w:r>
        <w:rPr>
          <w:rFonts w:ascii="FreeSans" w:hAnsi="FreeSans"/>
          <w:u w:val="single"/>
        </w:rPr>
        <w:t xml:space="preserve">Video reflexive ethnography in health research and healthcare improvement. </w:t>
      </w:r>
      <w:r>
        <w:rPr>
          <w:rFonts w:ascii="FreeSans" w:hAnsi="FreeSans"/>
        </w:rPr>
        <w:t>. Milton Park, Taylor &amp; Francis.</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Kennelly, J. (2018). "Theorizing critical placemaking as a tool for reclaiming public space." </w:t>
      </w:r>
      <w:r>
        <w:rPr>
          <w:rFonts w:ascii="FreeSans" w:hAnsi="FreeSans"/>
          <w:u w:val="single"/>
        </w:rPr>
        <w:t>Canadian Review of Sociology</w:t>
      </w:r>
      <w:r>
        <w:rPr>
          <w:rFonts w:ascii="FreeSans" w:hAnsi="FreeSans"/>
        </w:rPr>
        <w:t xml:space="preserve"> </w:t>
      </w:r>
      <w:r>
        <w:rPr>
          <w:rFonts w:ascii="FreeSans" w:hAnsi="FreeSans"/>
          <w:b/>
        </w:rPr>
        <w:t>55</w:t>
      </w:r>
      <w:r>
        <w:rPr>
          <w:rFonts w:ascii="FreeSans" w:hAnsi="FreeSans"/>
        </w:rPr>
        <w:t>(2): 190-210.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Kristensen, N., C. Nymann and H. Konradsen (2016). "Implementing research results in clinical practice - The experiences of healthcare professionals." </w:t>
      </w:r>
      <w:r>
        <w:rPr>
          <w:rFonts w:ascii="FreeSans" w:hAnsi="FreeSans"/>
          <w:u w:val="single"/>
        </w:rPr>
        <w:t>BMC Health Services Research</w:t>
      </w:r>
      <w:r>
        <w:rPr>
          <w:rFonts w:ascii="FreeSans" w:hAnsi="FreeSans"/>
        </w:rPr>
        <w:t xml:space="preserve"> </w:t>
      </w:r>
      <w:r>
        <w:rPr>
          <w:rFonts w:ascii="FreeSans" w:hAnsi="FreeSans"/>
          <w:b/>
        </w:rPr>
        <w:t>16</w:t>
      </w:r>
      <w:r>
        <w:rPr>
          <w:rFonts w:ascii="FreeSans" w:hAnsi="FreeSans"/>
        </w:rPr>
        <w:t>(48): 1-10.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Krutt, H., L. Dyer, A. Arora, J. Rollman and A. C. Jozkowski (2018). "Photovoice is a feasible method of program evaluation at a center serving adults with autism." </w:t>
      </w:r>
      <w:r>
        <w:rPr>
          <w:rFonts w:ascii="FreeSans" w:hAnsi="FreeSans"/>
          <w:u w:val="single"/>
        </w:rPr>
        <w:t>Evaluation and Program Planning</w:t>
      </w:r>
      <w:r>
        <w:rPr>
          <w:rFonts w:ascii="FreeSans" w:hAnsi="FreeSans"/>
        </w:rPr>
        <w:t xml:space="preserve"> </w:t>
      </w:r>
      <w:r>
        <w:rPr>
          <w:rFonts w:ascii="FreeSans" w:hAnsi="FreeSans"/>
          <w:b/>
        </w:rPr>
        <w:t>68</w:t>
      </w:r>
      <w:r>
        <w:rPr>
          <w:rFonts w:ascii="FreeSans" w:hAnsi="FreeSans"/>
        </w:rPr>
        <w:t>: 74-80.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Masny, D. (2016). "Problematizing qualitative research: Reading a data assemblage with rhizoanalysis." </w:t>
      </w:r>
      <w:r>
        <w:rPr>
          <w:rFonts w:ascii="FreeSans" w:hAnsi="FreeSans"/>
          <w:u w:val="single"/>
        </w:rPr>
        <w:t>Qualitative Inquiry</w:t>
      </w:r>
      <w:r>
        <w:rPr>
          <w:rFonts w:ascii="FreeSans" w:hAnsi="FreeSans"/>
        </w:rPr>
        <w:t xml:space="preserve"> </w:t>
      </w:r>
      <w:r>
        <w:rPr>
          <w:rFonts w:ascii="FreeSans" w:hAnsi="FreeSans"/>
          <w:b/>
        </w:rPr>
        <w:t>22</w:t>
      </w:r>
      <w:r>
        <w:rPr>
          <w:rFonts w:ascii="FreeSans" w:hAnsi="FreeSans"/>
        </w:rPr>
        <w:t>(8): 666-675.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McCaffrey, T. and J. Edwards (2015). "Meeting art with art: Arts-based methods enhance researcher reflexivity in research with mental health service users." </w:t>
      </w:r>
      <w:r>
        <w:rPr>
          <w:rFonts w:ascii="FreeSans" w:hAnsi="FreeSans"/>
          <w:u w:val="single"/>
        </w:rPr>
        <w:t>Journal of Music Therapy</w:t>
      </w:r>
      <w:r>
        <w:rPr>
          <w:rFonts w:ascii="FreeSans" w:hAnsi="FreeSans"/>
        </w:rPr>
        <w:t xml:space="preserve"> </w:t>
      </w:r>
      <w:r>
        <w:rPr>
          <w:rFonts w:ascii="FreeSans" w:hAnsi="FreeSans"/>
          <w:b/>
        </w:rPr>
        <w:t>52</w:t>
      </w:r>
      <w:r>
        <w:rPr>
          <w:rFonts w:ascii="FreeSans" w:hAnsi="FreeSans"/>
        </w:rPr>
        <w:t>(4): 515-532.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Messner, D. A., R. Moloney, A. H. Warriner, N. C. Wright, P. J. Foster and K. G. Saag (2016). "Understanding practice-based research participation: The differing motivations of engaged vs. non-engaged clinicians in pragmatic clinical trials." </w:t>
      </w:r>
      <w:r>
        <w:rPr>
          <w:rFonts w:ascii="FreeSans" w:hAnsi="FreeSans"/>
          <w:u w:val="single"/>
        </w:rPr>
        <w:t>Contemporary Clinical Trials Communications</w:t>
      </w:r>
      <w:r>
        <w:rPr>
          <w:rFonts w:ascii="FreeSans" w:hAnsi="FreeSans"/>
        </w:rPr>
        <w:t xml:space="preserve"> </w:t>
      </w:r>
      <w:r>
        <w:rPr>
          <w:rFonts w:ascii="FreeSans" w:hAnsi="FreeSans"/>
          <w:b/>
        </w:rPr>
        <w:t>4</w:t>
      </w:r>
      <w:r>
        <w:rPr>
          <w:rFonts w:ascii="FreeSans" w:hAnsi="FreeSans"/>
        </w:rPr>
        <w:t>(15): 136-140.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Molyneux, S. and P. W. Geissler (2008). "Ethics and the ethnography of medical research in Africa." </w:t>
      </w:r>
      <w:r>
        <w:rPr>
          <w:rFonts w:ascii="FreeSans" w:hAnsi="FreeSans"/>
          <w:u w:val="single"/>
        </w:rPr>
        <w:t>Social Science &amp; Medicine</w:t>
      </w:r>
      <w:r>
        <w:rPr>
          <w:rFonts w:ascii="FreeSans" w:hAnsi="FreeSans"/>
        </w:rPr>
        <w:t xml:space="preserve"> </w:t>
      </w:r>
      <w:r>
        <w:rPr>
          <w:rFonts w:ascii="FreeSans" w:hAnsi="FreeSans"/>
          <w:b/>
        </w:rPr>
        <w:t>67</w:t>
      </w:r>
      <w:r>
        <w:rPr>
          <w:rFonts w:ascii="FreeSans" w:hAnsi="FreeSans"/>
        </w:rPr>
        <w:t>(5): 685-695.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Murphy, K., F. Jordan, A. Hunter, A. Cooney and D. Casey (2014). "Articulating the strategies for maximising the inclusion of people with dementia in qualitative research studies." </w:t>
      </w:r>
      <w:r>
        <w:rPr>
          <w:rFonts w:ascii="FreeSans" w:hAnsi="FreeSans"/>
          <w:u w:val="single"/>
        </w:rPr>
        <w:t>Dementia</w:t>
      </w:r>
      <w:r>
        <w:rPr>
          <w:rFonts w:ascii="FreeSans" w:hAnsi="FreeSans"/>
        </w:rPr>
        <w:t xml:space="preserve"> </w:t>
      </w:r>
      <w:r>
        <w:rPr>
          <w:rFonts w:ascii="FreeSans" w:hAnsi="FreeSans"/>
          <w:b/>
        </w:rPr>
        <w:t>14</w:t>
      </w:r>
      <w:r>
        <w:rPr>
          <w:rFonts w:ascii="FreeSans" w:hAnsi="FreeSans"/>
        </w:rPr>
        <w:t>(6): 800-824.</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Neville, S. (2008). "Older people with delirium: Worthless and childlike." </w:t>
      </w:r>
      <w:r>
        <w:rPr>
          <w:rFonts w:ascii="FreeSans" w:hAnsi="FreeSans"/>
          <w:u w:val="single"/>
        </w:rPr>
        <w:t>International Journal of Nursing Practice</w:t>
      </w:r>
      <w:r>
        <w:rPr>
          <w:rFonts w:ascii="FreeSans" w:hAnsi="FreeSans"/>
        </w:rPr>
        <w:t xml:space="preserve"> </w:t>
      </w:r>
      <w:r>
        <w:rPr>
          <w:rFonts w:ascii="FreeSans" w:hAnsi="FreeSans"/>
          <w:b/>
        </w:rPr>
        <w:t>14</w:t>
      </w:r>
      <w:r>
        <w:rPr>
          <w:rFonts w:ascii="FreeSans" w:hAnsi="FreeSans"/>
        </w:rPr>
        <w:t>(6): 463-469.</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Orlowski, S. K., S. Lawn, A. Venning, M. Winsall, G. M. Jones, K. Wyld, R. A. Damarell, G. Antezana, G. Schrader, D. Smith, P. Collin and N. Bidargaddi (2015). "Participatory research as one piece of the puzzle: A systematic review of consumer involvement in design of technology-based youth mental health and well-being interventions." </w:t>
      </w:r>
      <w:r>
        <w:rPr>
          <w:rFonts w:ascii="FreeSans" w:hAnsi="FreeSans"/>
          <w:u w:val="single"/>
        </w:rPr>
        <w:t>JMIR Human Factors</w:t>
      </w:r>
      <w:r>
        <w:rPr>
          <w:rFonts w:ascii="FreeSans" w:hAnsi="FreeSans"/>
        </w:rPr>
        <w:t xml:space="preserve"> </w:t>
      </w:r>
      <w:r>
        <w:rPr>
          <w:rFonts w:ascii="FreeSans" w:hAnsi="FreeSans"/>
          <w:b/>
        </w:rPr>
        <w:t>2</w:t>
      </w:r>
      <w:r>
        <w:rPr>
          <w:rFonts w:ascii="FreeSans" w:hAnsi="FreeSans"/>
        </w:rPr>
        <w:t>(2): e12.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Overmars-Marx, T., F. Thomése and H. Meininger (2018). "Neighbourhood social inclusion from the perspective of people with intellectual disabilities: Relevant themes identified with the use of photovoice." </w:t>
      </w:r>
      <w:r>
        <w:rPr>
          <w:rFonts w:ascii="FreeSans" w:hAnsi="FreeSans"/>
          <w:u w:val="single"/>
        </w:rPr>
        <w:t>Journal of Applied Research in Intellectual Disabilities</w:t>
      </w:r>
      <w:r>
        <w:rPr>
          <w:rFonts w:ascii="FreeSans" w:hAnsi="FreeSans"/>
        </w:rPr>
        <w:t xml:space="preserve"> </w:t>
      </w:r>
      <w:r>
        <w:rPr>
          <w:rFonts w:ascii="FreeSans" w:hAnsi="FreeSans"/>
          <w:b/>
        </w:rPr>
        <w:t>Epub-ahead-of-print</w:t>
      </w:r>
      <w:r>
        <w:rPr>
          <w:rFonts w:ascii="FreeSans" w:hAnsi="FreeSans"/>
        </w:rPr>
        <w:t>: 1-12.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Özerdem, A. and R. Bowd (2010). A theoretical and practical exposition of 'participatory' research methods. </w:t>
      </w:r>
      <w:r>
        <w:rPr>
          <w:rFonts w:ascii="FreeSans" w:hAnsi="FreeSans"/>
          <w:u w:val="single"/>
        </w:rPr>
        <w:t>Participatory research methodologies: Development and post-disaster/conflict reconstruction</w:t>
      </w:r>
      <w:r>
        <w:rPr>
          <w:rFonts w:ascii="FreeSans" w:hAnsi="FreeSans"/>
        </w:rPr>
        <w:t>. A. Özerdem and R. Bowd. London, Routledge</w:t>
      </w:r>
      <w:r>
        <w:rPr>
          <w:rFonts w:ascii="FreeSans" w:hAnsi="FreeSans"/>
          <w:b/>
        </w:rPr>
        <w:t xml:space="preserve">: </w:t>
      </w:r>
      <w:r>
        <w:rPr>
          <w:rFonts w:ascii="FreeSans" w:hAnsi="FreeSans"/>
        </w:rPr>
        <w:t>1-20.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Parry, O., W. Gnich and S. Platt (2001). "Principles in practice: reflections on a 'postpositivist' approach to evaluation research." </w:t>
      </w:r>
      <w:r>
        <w:rPr>
          <w:rFonts w:ascii="FreeSans" w:hAnsi="FreeSans"/>
          <w:u w:val="single"/>
        </w:rPr>
        <w:t>Health Education Research</w:t>
      </w:r>
      <w:r>
        <w:rPr>
          <w:rFonts w:ascii="FreeSans" w:hAnsi="FreeSans"/>
        </w:rPr>
        <w:t xml:space="preserve"> </w:t>
      </w:r>
      <w:r>
        <w:rPr>
          <w:rFonts w:ascii="FreeSans" w:hAnsi="FreeSans"/>
          <w:b/>
        </w:rPr>
        <w:t>16</w:t>
      </w:r>
      <w:r>
        <w:rPr>
          <w:rFonts w:ascii="FreeSans" w:hAnsi="FreeSans"/>
        </w:rPr>
        <w:t>(2): 215-226.</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Patte, M. M. and J. A. Sutterby, Eds. (2016). </w:t>
      </w:r>
      <w:r>
        <w:rPr>
          <w:rFonts w:ascii="FreeSans" w:hAnsi="FreeSans"/>
          <w:u w:val="single"/>
        </w:rPr>
        <w:t>Celebrating 40 years of play research: Connecting our past, present, and future</w:t>
      </w:r>
      <w:r>
        <w:rPr>
          <w:rFonts w:ascii="FreeSans" w:hAnsi="FreeSans"/>
        </w:rPr>
        <w:t>. Lanham, MD, Hamilton Books.</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Porter, G., K. Hampshire, A. Abane, A. Munthali, E. Robson and M. Mashiri (2017). </w:t>
      </w:r>
      <w:r>
        <w:rPr>
          <w:rFonts w:ascii="FreeSans" w:hAnsi="FreeSans"/>
          <w:u w:val="single"/>
        </w:rPr>
        <w:t>Young people's daily mobilities in Sub-Saharan Africa: Moving young lives</w:t>
      </w:r>
      <w:r>
        <w:rPr>
          <w:rFonts w:ascii="FreeSans" w:hAnsi="FreeSans"/>
        </w:rPr>
        <w:t>. New York, NY, Palgrave Macmillan.</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Prince, M., A. Wimo, M. Guerchet, G.-C. Ali, Y.-T. Wu, M. Prina and Alzheimer's Disease International (2015). World alzheimer report: The global impact of dementia - An analysis of prevalence, incidence, cost and trends. London, Alzheimer's Disease International.</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Reynish, E. L., S. M. Hapca, N. De Souza, V. Cvoro, P. T. Donnan and B. Guthrie (2017). "Epidemiology and outcomes of people with dementia, delirium, and unspecified cognitive impairment in the general hospital: Prospective cohort study of 10,014 admissions." </w:t>
      </w:r>
      <w:r>
        <w:rPr>
          <w:rFonts w:ascii="FreeSans" w:hAnsi="FreeSans"/>
          <w:u w:val="single"/>
        </w:rPr>
        <w:t>BMC Medicine</w:t>
      </w:r>
      <w:r>
        <w:rPr>
          <w:rFonts w:ascii="FreeSans" w:hAnsi="FreeSans"/>
        </w:rPr>
        <w:t xml:space="preserve"> </w:t>
      </w:r>
      <w:r>
        <w:rPr>
          <w:rFonts w:ascii="FreeSans" w:hAnsi="FreeSans"/>
          <w:b/>
        </w:rPr>
        <w:t>15</w:t>
      </w:r>
      <w:r>
        <w:rPr>
          <w:rFonts w:ascii="FreeSans" w:hAnsi="FreeSans"/>
        </w:rPr>
        <w:t>(140): 1-12.</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Schneider, J., S. Lowe, T. Myers, K. Scales, S. Bailey and J. Middleton (2014). "A short report on knowledge exchange through research-based theatre: 'Inside out of mind'." </w:t>
      </w:r>
      <w:r>
        <w:rPr>
          <w:rFonts w:ascii="FreeSans" w:hAnsi="FreeSans"/>
          <w:u w:val="single"/>
        </w:rPr>
        <w:t>Social Science &amp; Medicine</w:t>
      </w:r>
      <w:r>
        <w:rPr>
          <w:rFonts w:ascii="FreeSans" w:hAnsi="FreeSans"/>
        </w:rPr>
        <w:t xml:space="preserve"> </w:t>
      </w:r>
      <w:r>
        <w:rPr>
          <w:rFonts w:ascii="FreeSans" w:hAnsi="FreeSans"/>
          <w:b/>
        </w:rPr>
        <w:t>118</w:t>
      </w:r>
      <w:r>
        <w:rPr>
          <w:rFonts w:ascii="FreeSans" w:hAnsi="FreeSans"/>
        </w:rPr>
        <w:t>: 61-65.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Slaughter, S., D. Cole, E. Jennings and M. A. Reimer (2007). "Consent and assent to participate in research from people with dementia." </w:t>
      </w:r>
      <w:r>
        <w:rPr>
          <w:rFonts w:ascii="FreeSans" w:hAnsi="FreeSans"/>
          <w:u w:val="single"/>
        </w:rPr>
        <w:t>Nursing Ethics</w:t>
      </w:r>
      <w:r>
        <w:rPr>
          <w:rFonts w:ascii="FreeSans" w:hAnsi="FreeSans"/>
        </w:rPr>
        <w:t xml:space="preserve"> </w:t>
      </w:r>
      <w:r>
        <w:rPr>
          <w:rFonts w:ascii="FreeSans" w:hAnsi="FreeSans"/>
          <w:b/>
        </w:rPr>
        <w:t>14</w:t>
      </w:r>
      <w:r>
        <w:rPr>
          <w:rFonts w:ascii="FreeSans" w:hAnsi="FreeSans"/>
        </w:rPr>
        <w:t>(1): 27-40.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Smith, P. K. (2018). Play research and its applications: A current perspective. </w:t>
      </w:r>
      <w:r>
        <w:rPr>
          <w:rFonts w:ascii="FreeSans" w:hAnsi="FreeSans"/>
          <w:u w:val="single"/>
        </w:rPr>
        <w:t>Children's play: Research developments and practical applications</w:t>
      </w:r>
      <w:r>
        <w:rPr>
          <w:rFonts w:ascii="FreeSans" w:hAnsi="FreeSans"/>
        </w:rPr>
        <w:t xml:space="preserve">. P. K. Smith. Oxon, Routledge. </w:t>
      </w:r>
      <w:r>
        <w:rPr>
          <w:rFonts w:ascii="FreeSans" w:hAnsi="FreeSans"/>
          <w:b/>
        </w:rPr>
        <w:t xml:space="preserve">14: </w:t>
      </w:r>
      <w:r>
        <w:rPr>
          <w:rFonts w:ascii="FreeSans" w:hAnsi="FreeSans"/>
        </w:rPr>
        <w:t>1-15.</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Tan, E. C., N. Jokanovic, M. P. Koponen, D. Thomas, S. N. Hilmer and J. S. Bell (2015). "Prevalence of analgesic use and pain in people with and without dementia or cognitive impairment in aged care facilities: A systematic review and meta-analysis." </w:t>
      </w:r>
      <w:r>
        <w:rPr>
          <w:rFonts w:ascii="FreeSans" w:hAnsi="FreeSans"/>
          <w:u w:val="single"/>
        </w:rPr>
        <w:t>Current Clinical Pharmacology</w:t>
      </w:r>
      <w:r>
        <w:rPr>
          <w:rFonts w:ascii="FreeSans" w:hAnsi="FreeSans"/>
        </w:rPr>
        <w:t xml:space="preserve"> </w:t>
      </w:r>
      <w:r>
        <w:rPr>
          <w:rFonts w:ascii="FreeSans" w:hAnsi="FreeSans"/>
          <w:b/>
        </w:rPr>
        <w:t>10</w:t>
      </w:r>
      <w:r>
        <w:rPr>
          <w:rFonts w:ascii="FreeSans" w:hAnsi="FreeSans"/>
        </w:rPr>
        <w:t>(3): 194-203.</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Toolis, E. E. (2016). "Theorizing critical placemaking as a tool for reclaiming public space." </w:t>
      </w:r>
      <w:r>
        <w:rPr>
          <w:rFonts w:ascii="FreeSans" w:hAnsi="FreeSans"/>
          <w:u w:val="single"/>
        </w:rPr>
        <w:t>American Journal of Community Psychology</w:t>
      </w:r>
      <w:r>
        <w:rPr>
          <w:rFonts w:ascii="FreeSans" w:hAnsi="FreeSans"/>
        </w:rPr>
        <w:t xml:space="preserve"> </w:t>
      </w:r>
      <w:r>
        <w:rPr>
          <w:rFonts w:ascii="FreeSans" w:hAnsi="FreeSans"/>
          <w:b/>
        </w:rPr>
        <w:t>59</w:t>
      </w:r>
      <w:r>
        <w:rPr>
          <w:rFonts w:ascii="FreeSans" w:hAnsi="FreeSans"/>
        </w:rPr>
        <w:t>(1-2): 184-199.</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Unertl, K. M., A. M. Fair, J. S. Favours, R. J. Dolor, D. Smoot and C. H. Wilkins (2018). "Clinicians’ perspectives on and interest in participating in a clinical data research network across the Southeastern United States." </w:t>
      </w:r>
      <w:r>
        <w:rPr>
          <w:rFonts w:ascii="FreeSans" w:hAnsi="FreeSans"/>
          <w:u w:val="single"/>
        </w:rPr>
        <w:t>BMC Health Services Research</w:t>
      </w:r>
      <w:r>
        <w:rPr>
          <w:rFonts w:ascii="FreeSans" w:hAnsi="FreeSans"/>
        </w:rPr>
        <w:t xml:space="preserve"> </w:t>
      </w:r>
      <w:r>
        <w:rPr>
          <w:rFonts w:ascii="FreeSans" w:hAnsi="FreeSans"/>
          <w:b/>
        </w:rPr>
        <w:t>18</w:t>
      </w:r>
      <w:r>
        <w:rPr>
          <w:rFonts w:ascii="FreeSans" w:hAnsi="FreeSans"/>
        </w:rPr>
        <w:t>(568): 1-10.</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Wilkinson, H. (2002). Including people with dementia in research: Methods and motivations. </w:t>
      </w:r>
      <w:r>
        <w:rPr>
          <w:rFonts w:ascii="FreeSans" w:hAnsi="FreeSans"/>
          <w:u w:val="single"/>
        </w:rPr>
        <w:t>The perspectives of people with dementia: Research methods and motivations</w:t>
      </w:r>
      <w:r>
        <w:rPr>
          <w:rFonts w:ascii="FreeSans" w:hAnsi="FreeSans"/>
        </w:rPr>
        <w:t>. H. Wilkinson. London, Jessica Kingsley Publishers</w:t>
      </w:r>
      <w:r>
        <w:rPr>
          <w:rFonts w:ascii="FreeSans" w:hAnsi="FreeSans"/>
          <w:b/>
        </w:rPr>
        <w:t xml:space="preserve">: </w:t>
      </w:r>
      <w:r>
        <w:rPr>
          <w:rFonts w:ascii="FreeSans" w:hAnsi="FreeSans"/>
        </w:rPr>
        <w:t>9-24.</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before="0" w:after="0"/>
        <w:rPr>
          <w:rFonts w:ascii="FreeSans" w:hAnsi="FreeSans"/>
        </w:rPr>
      </w:pPr>
      <w:r>
        <w:rPr>
          <w:rFonts w:ascii="FreeSans" w:hAnsi="FreeSans"/>
        </w:rPr>
        <w:t xml:space="preserve">Wolf, D., C. Rhein, K. Geschke and A. Fellgiebel (2018). "Preventable hospitalizations among older patients with cognitive impairments and dementia." </w:t>
      </w:r>
      <w:r>
        <w:rPr>
          <w:rFonts w:ascii="FreeSans" w:hAnsi="FreeSans"/>
          <w:u w:val="single"/>
        </w:rPr>
        <w:t>International Psychogeriatics</w:t>
      </w:r>
      <w:r>
        <w:rPr>
          <w:rFonts w:ascii="FreeSans" w:hAnsi="FreeSans"/>
        </w:rPr>
        <w:t xml:space="preserve"> </w:t>
      </w:r>
      <w:r>
        <w:rPr>
          <w:rFonts w:ascii="FreeSans" w:hAnsi="FreeSans"/>
          <w:b/>
        </w:rPr>
        <w:t>Epub-ahead-of-print</w:t>
      </w:r>
      <w:r>
        <w:rPr>
          <w:rFonts w:ascii="FreeSans" w:hAnsi="FreeSans"/>
        </w:rPr>
        <w:t>: 1-9.</w:t>
      </w:r>
    </w:p>
    <w:p>
      <w:pPr>
        <w:pStyle w:val="EndNoteBibliography"/>
        <w:spacing w:lineRule="auto" w:line="360" w:before="0" w:after="0"/>
        <w:rPr>
          <w:rFonts w:ascii="FreeSans" w:hAnsi="FreeSans"/>
        </w:rPr>
      </w:pPr>
      <w:r>
        <w:rPr>
          <w:rFonts w:ascii="FreeSans" w:hAnsi="FreeSans"/>
        </w:rPr>
      </w:r>
    </w:p>
    <w:p>
      <w:pPr>
        <w:pStyle w:val="EndNoteBibliography"/>
        <w:spacing w:lineRule="auto" w:line="360"/>
        <w:rPr>
          <w:rFonts w:ascii="FreeSans" w:hAnsi="FreeSans"/>
        </w:rPr>
      </w:pPr>
      <w:r>
        <w:rPr>
          <w:rFonts w:ascii="FreeSans" w:hAnsi="FreeSans"/>
        </w:rPr>
        <w:t xml:space="preserve">Yoshihama, M. and T. Yunomae (2018). "Participatory investigation of the great east Japan disaster: Photovoice from women affected by the calamity." </w:t>
      </w:r>
      <w:r>
        <w:rPr>
          <w:rFonts w:ascii="FreeSans" w:hAnsi="FreeSans"/>
          <w:u w:val="single"/>
        </w:rPr>
        <w:t>Social Work</w:t>
      </w:r>
      <w:r>
        <w:rPr>
          <w:rFonts w:ascii="FreeSans" w:hAnsi="FreeSans"/>
        </w:rPr>
        <w:t xml:space="preserve"> </w:t>
      </w:r>
      <w:r>
        <w:rPr>
          <w:rFonts w:ascii="FreeSans" w:hAnsi="FreeSans"/>
          <w:b/>
        </w:rPr>
        <w:t>63</w:t>
      </w:r>
      <w:r>
        <w:rPr>
          <w:rFonts w:ascii="FreeSans" w:hAnsi="FreeSans"/>
        </w:rPr>
        <w:t>(3): 234-243.</w:t>
      </w:r>
    </w:p>
    <w:p>
      <w:pPr>
        <w:pStyle w:val="Normal"/>
        <w:spacing w:lineRule="auto" w:line="360" w:before="0" w:after="120"/>
        <w:rPr>
          <w:rFonts w:ascii="FreeSans" w:hAnsi="FreeSans"/>
        </w:rPr>
      </w:pPr>
      <w:r>
        <w:rPr>
          <w:rFonts w:ascii="FreeSans" w:hAnsi="FreeSans"/>
        </w:rPr>
      </w:r>
    </w:p>
    <w:sectPr>
      <w:footerReference w:type="default" r:id="rId2"/>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FreeSans">
    <w:charset w:val="01"/>
    <w:family w:val="swiss"/>
    <w:pitch w:val="variable"/>
  </w:font>
  <w:font w:name="Georgia">
    <w:charset w:val="01"/>
    <w:family w:val="roman"/>
    <w:pitch w:val="variable"/>
  </w:font>
  <w:font w:name="Segoe UI">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692750161"/>
    </w:sdtPr>
    <w:sdtContent>
      <w:p>
        <w:pPr>
          <w:pStyle w:val="Footer"/>
          <w:spacing w:before="0" w:after="120"/>
          <w:jc w:val="center"/>
          <w:rPr/>
        </w:pPr>
        <w:r>
          <w:rPr/>
          <w:t xml:space="preserve">Page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15</w:t>
        </w:r>
        <w:r>
          <w:rPr>
            <w:sz w:val="24"/>
            <w:b/>
            <w:szCs w:val="24"/>
            <w:bCs/>
          </w:rPr>
          <w:fldChar w:fldCharType="end"/>
        </w:r>
        <w:r>
          <w:rPr/>
          <w:t xml:space="preserve"> of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15</w:t>
        </w:r>
        <w:r>
          <w:rPr>
            <w:sz w:val="24"/>
            <w:b/>
            <w:szCs w:val="24"/>
            <w:bCs/>
          </w:rPr>
          <w:fldChar w:fldCharType="end"/>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1"/>
  <w:defaultTabStop w:val="720"/>
  <w:compat>
    <w:compatSetting w:name="compatibilityMode" w:uri="http://schemas.microsoft.com/office/word" w:val="12"/>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0" w:defSemiHidden="1" w:defUnhideWhenUsed="0" w:defQFormat="0" w:count="267">
    <w:lsdException w:name="Normal" w:semiHidden="0"/>
    <w:lsdException w:name="heading 1" w:semiHidden="0"/>
    <w:lsdException w:name="heading 2" w:semiHidden="0"/>
    <w:lsdException w:name="heading 3" w:semiHidden="0"/>
    <w:lsdException w:name="heading 4" w:semiHidden="0"/>
    <w:lsdException w:name="heading 5" w:semiHidden="0"/>
    <w:lsdException w:name="heading 6" w:unhideWhenUsed="1"/>
    <w:lsdException w:name="heading 7" w:semiHidden="0"/>
    <w:lsdException w:name="heading 8" w:semiHidden="0"/>
    <w:lsdException w:name="heading 9" w:semiHidden="0"/>
    <w:lsdException w:name="index 1" w:semiHidden="0"/>
    <w:lsdException w:name="index 2" w:semiHidden="0"/>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semiHidden="0"/>
    <w:lsdException w:name="List Bullet 3" w:unhideWhenUsed="1"/>
    <w:lsdException w:name="List Bullet 4" w:unhideWhenUsed="1"/>
    <w:lsdException w:name="List Bullet 5" w:semiHidden="0"/>
    <w:lsdException w:name="List Number 2" w:semiHidden="0"/>
    <w:lsdException w:name="List Number 3" w:unhideWhenUsed="1"/>
    <w:lsdException w:name="List Number 4" w:unhideWhenUsed="1"/>
    <w:lsdException w:name="List Number 5" w:unhideWhenUsed="1"/>
    <w:lsdException w:name="Title" w:semiHidden="0"/>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lsdException w:name="Salutation" w:unhideWhenUsed="1"/>
    <w:lsdException w:name="Date" w:unhideWhenUsed="1"/>
    <w:lsdException w:name="Body Text First Indent" w:unhideWhenUsed="1"/>
    <w:lsdException w:name="Body Text First Indent 2" w:unhideWhenUsed="1"/>
    <w:lsdException w:name="Note Heading" w:semiHidden="0"/>
    <w:lsdException w:name="Body Text 2" w:semiHidden="0"/>
    <w:lsdException w:name="Body Text 3" w:semiHidden="0"/>
    <w:lsdException w:name="Body Text Indent 2" w:semiHidden="0"/>
    <w:lsdException w:name="Body Text Indent 3" w:unhideWhenUsed="1"/>
    <w:lsdException w:name="Block Text" w:unhideWhenUsed="1"/>
    <w:lsdException w:name="Hyperlink" w:unhideWhenUsed="1"/>
    <w:lsdException w:name="FollowedHyperlink" w:unhideWhenUsed="1"/>
    <w:lsdException w:name="Strong" w:semiHidden="0"/>
    <w:lsdException w:name="Emphasis" w:semiHidden="0"/>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semiHidden="0"/>
    <w:lsdException w:name="Table Web 1" w:unhideWhenUsed="1"/>
    <w:lsdException w:name="Table Web 2" w:unhideWhenUsed="1"/>
    <w:lsdException w:name="Table Web 3" w:semiHidden="0"/>
    <w:lsdException w:name="Balloon Text" w:unhideWhenUsed="1"/>
    <w:lsdException w:name="Table Grid" w:semiHidden="0"/>
    <w:lsdException w:name="Table Theme" w:unhideWhenUsed="1"/>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uiPriority="34" w:semiHidden="0"/>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lsdException w:name="Intense Emphasis" w:semiHidden="0"/>
    <w:lsdException w:name="Subtle Reference" w:semiHidden="0"/>
    <w:lsdException w:name="Intense Reference" w:semiHidden="0"/>
    <w:lsdException w:name="Book Title" w:semiHidden="0"/>
    <w:lsdException w:name="Bibliography" w:unhideWhenUsed="1"/>
    <w:lsdException w:name="TOC Heading" w:unhideWhenUsed="1"/>
  </w:latentStyles>
  <w:style w:type="paragraph" w:styleId="Normal" w:default="1">
    <w:name w:val="Normal"/>
    <w:qFormat/>
    <w:rsid w:val="00eb411d"/>
    <w:pPr>
      <w:widowControl/>
      <w:bidi w:val="0"/>
      <w:spacing w:lineRule="auto" w:line="360" w:before="0" w:after="120"/>
      <w:jc w:val="both"/>
    </w:pPr>
    <w:rPr>
      <w:rFonts w:ascii="Times New Roman" w:hAnsi="Times New Roman" w:eastAsia="Calibri" w:cs="" w:cstheme="minorBidi" w:eastAsiaTheme="minorHAnsi"/>
      <w:color w:val="auto"/>
      <w:kern w:val="0"/>
      <w:sz w:val="24"/>
      <w:szCs w:val="22"/>
      <w:lang w:val="en-AU" w:eastAsia="en-US" w:bidi="ar-SA"/>
    </w:rPr>
  </w:style>
  <w:style w:type="paragraph" w:styleId="Heading1">
    <w:name w:val="Heading 1"/>
    <w:basedOn w:val="Normal"/>
    <w:next w:val="Normal"/>
    <w:link w:val="Heading1Char"/>
    <w:uiPriority w:val="9"/>
    <w:qFormat/>
    <w:rsid w:val="00b2353b"/>
    <w:pPr>
      <w:keepNext w:val="true"/>
      <w:keepLines/>
      <w:spacing w:lineRule="auto" w:line="360"/>
      <w:outlineLvl w:val="0"/>
    </w:pPr>
    <w:rPr>
      <w:rFonts w:ascii="FreeSans" w:hAnsi="FreeSans" w:eastAsia="" w:cs="" w:cstheme="majorBidi" w:eastAsiaTheme="majorEastAsia"/>
      <w:b/>
      <w:sz w:val="36"/>
      <w:szCs w:val="36"/>
    </w:rPr>
  </w:style>
  <w:style w:type="paragraph" w:styleId="Heading2">
    <w:name w:val="Heading 2"/>
    <w:basedOn w:val="Normal"/>
    <w:next w:val="Normal"/>
    <w:link w:val="Heading2Char"/>
    <w:uiPriority w:val="9"/>
    <w:unhideWhenUsed/>
    <w:qFormat/>
    <w:rsid w:val="00b2353b"/>
    <w:pPr>
      <w:keepNext w:val="true"/>
      <w:keepLines/>
      <w:spacing w:lineRule="auto" w:line="360" w:before="57" w:after="57"/>
      <w:outlineLvl w:val="1"/>
    </w:pPr>
    <w:rPr>
      <w:rFonts w:ascii="FreeSans" w:hAnsi="FreeSans" w:eastAsia="" w:cs="" w:cstheme="majorBidi" w:eastAsiaTheme="majorEastAsia"/>
      <w:b/>
      <w:i w:val="false"/>
      <w:iCs w:val="false"/>
      <w:sz w:val="32"/>
      <w:szCs w:val="32"/>
    </w:rPr>
  </w:style>
  <w:style w:type="paragraph" w:styleId="Heading3">
    <w:name w:val="Heading 3"/>
    <w:basedOn w:val="Normal"/>
    <w:next w:val="Normal"/>
    <w:link w:val="Heading3Char"/>
    <w:uiPriority w:val="9"/>
    <w:semiHidden/>
    <w:unhideWhenUsed/>
    <w:qFormat/>
    <w:rsid w:val="00b2353b"/>
    <w:pPr>
      <w:keepNext w:val="true"/>
      <w:keepLines/>
      <w:outlineLvl w:val="2"/>
    </w:pPr>
    <w:rPr>
      <w:rFonts w:eastAsia="" w:cs="" w:cstheme="majorBidi" w:eastAsiaTheme="majorEastAsia"/>
      <w:i/>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2353b"/>
    <w:rPr>
      <w:rFonts w:ascii="Times New Roman" w:hAnsi="Times New Roman" w:eastAsia="" w:cs="" w:cstheme="majorBidi" w:eastAsiaTheme="majorEastAsia"/>
      <w:b/>
      <w:sz w:val="24"/>
      <w:szCs w:val="32"/>
    </w:rPr>
  </w:style>
  <w:style w:type="character" w:styleId="Heading2Char" w:customStyle="1">
    <w:name w:val="Heading 2 Char"/>
    <w:basedOn w:val="DefaultParagraphFont"/>
    <w:link w:val="Heading2"/>
    <w:uiPriority w:val="9"/>
    <w:qFormat/>
    <w:rsid w:val="00b2353b"/>
    <w:rPr>
      <w:rFonts w:ascii="Times New Roman" w:hAnsi="Times New Roman" w:eastAsia="" w:cs="" w:cstheme="majorBidi" w:eastAsiaTheme="majorEastAsia"/>
      <w:b/>
      <w:i/>
      <w:sz w:val="24"/>
      <w:szCs w:val="26"/>
    </w:rPr>
  </w:style>
  <w:style w:type="character" w:styleId="TitleChar" w:customStyle="1">
    <w:name w:val="Title Char"/>
    <w:basedOn w:val="DefaultParagraphFont"/>
    <w:link w:val="Title"/>
    <w:uiPriority w:val="10"/>
    <w:qFormat/>
    <w:rsid w:val="00b2353b"/>
    <w:rPr>
      <w:rFonts w:ascii="Times New Roman" w:hAnsi="Times New Roman" w:eastAsia="" w:cs="" w:cstheme="majorBidi" w:eastAsiaTheme="majorEastAsia"/>
      <w:b/>
      <w:spacing w:val="-10"/>
      <w:kern w:val="2"/>
      <w:sz w:val="24"/>
      <w:szCs w:val="56"/>
    </w:rPr>
  </w:style>
  <w:style w:type="character" w:styleId="FooterChar" w:customStyle="1">
    <w:name w:val="Footer Char"/>
    <w:basedOn w:val="DefaultParagraphFont"/>
    <w:link w:val="Footer"/>
    <w:uiPriority w:val="99"/>
    <w:qFormat/>
    <w:rsid w:val="0056447f"/>
    <w:rPr>
      <w:rFonts w:ascii="Georgia" w:hAnsi="Georgia"/>
      <w:sz w:val="16"/>
    </w:rPr>
  </w:style>
  <w:style w:type="character" w:styleId="HeaderChar" w:customStyle="1">
    <w:name w:val="Header Char"/>
    <w:basedOn w:val="DefaultParagraphFont"/>
    <w:link w:val="Header"/>
    <w:uiPriority w:val="99"/>
    <w:qFormat/>
    <w:rsid w:val="0056447f"/>
    <w:rPr>
      <w:rFonts w:ascii="Georgia" w:hAnsi="Georgia"/>
      <w:sz w:val="16"/>
    </w:rPr>
  </w:style>
  <w:style w:type="character" w:styleId="SubtitleChar" w:customStyle="1">
    <w:name w:val="Subtitle Char"/>
    <w:basedOn w:val="DefaultParagraphFont"/>
    <w:link w:val="Subtitle"/>
    <w:uiPriority w:val="11"/>
    <w:qFormat/>
    <w:rsid w:val="00377db4"/>
    <w:rPr>
      <w:rFonts w:ascii="Georgia" w:hAnsi="Georgia" w:eastAsia="" w:eastAsiaTheme="minorEastAsia"/>
      <w:color w:val="780000"/>
      <w:spacing w:val="15"/>
      <w:sz w:val="24"/>
    </w:rPr>
  </w:style>
  <w:style w:type="character" w:styleId="Heading3Char" w:customStyle="1">
    <w:name w:val="Heading 3 Char"/>
    <w:basedOn w:val="DefaultParagraphFont"/>
    <w:link w:val="Heading3"/>
    <w:uiPriority w:val="9"/>
    <w:semiHidden/>
    <w:qFormat/>
    <w:rsid w:val="00b2353b"/>
    <w:rPr>
      <w:rFonts w:ascii="Times New Roman" w:hAnsi="Times New Roman" w:eastAsia="" w:cs="" w:cstheme="majorBidi" w:eastAsiaTheme="majorEastAsia"/>
      <w:i/>
      <w:sz w:val="24"/>
      <w:szCs w:val="24"/>
    </w:rPr>
  </w:style>
  <w:style w:type="character" w:styleId="EndNoteBibliographyTitleChar" w:customStyle="1">
    <w:name w:val="EndNote Bibliography Title Char"/>
    <w:basedOn w:val="DefaultParagraphFont"/>
    <w:link w:val="EndNoteBibliographyTitle"/>
    <w:qFormat/>
    <w:rsid w:val="00640b60"/>
    <w:rPr>
      <w:rFonts w:ascii="Times New Roman" w:hAnsi="Times New Roman" w:cs="Times New Roman"/>
      <w:sz w:val="24"/>
      <w:lang w:val="en-US"/>
    </w:rPr>
  </w:style>
  <w:style w:type="character" w:styleId="EndNoteBibliographyChar" w:customStyle="1">
    <w:name w:val="EndNote Bibliography Char"/>
    <w:basedOn w:val="DefaultParagraphFont"/>
    <w:link w:val="EndNoteBibliography"/>
    <w:qFormat/>
    <w:rsid w:val="00640b60"/>
    <w:rPr>
      <w:rFonts w:ascii="Times New Roman" w:hAnsi="Times New Roman" w:cs="Times New Roman"/>
      <w:sz w:val="24"/>
      <w:lang w:val="en-US"/>
    </w:rPr>
  </w:style>
  <w:style w:type="character" w:styleId="InternetLink">
    <w:name w:val="Internet Link"/>
    <w:basedOn w:val="DefaultParagraphFont"/>
    <w:uiPriority w:val="99"/>
    <w:unhideWhenUsed/>
    <w:rsid w:val="00c8258a"/>
    <w:rPr>
      <w:color w:val="0563C1" w:themeColor="hyperlink"/>
      <w:u w:val="single"/>
    </w:rPr>
  </w:style>
  <w:style w:type="character" w:styleId="UnresolvedMention1" w:customStyle="1">
    <w:name w:val="Unresolved Mention1"/>
    <w:basedOn w:val="DefaultParagraphFont"/>
    <w:uiPriority w:val="99"/>
    <w:semiHidden/>
    <w:unhideWhenUsed/>
    <w:qFormat/>
    <w:rsid w:val="00c27cba"/>
    <w:rPr>
      <w:color w:val="808080"/>
      <w:shd w:fill="E6E6E6" w:val="clear"/>
    </w:rPr>
  </w:style>
  <w:style w:type="character" w:styleId="Annotationreference">
    <w:name w:val="annotation reference"/>
    <w:basedOn w:val="DefaultParagraphFont"/>
    <w:uiPriority w:val="99"/>
    <w:semiHidden/>
    <w:unhideWhenUsed/>
    <w:qFormat/>
    <w:rsid w:val="008c079e"/>
    <w:rPr>
      <w:sz w:val="16"/>
      <w:szCs w:val="16"/>
    </w:rPr>
  </w:style>
  <w:style w:type="character" w:styleId="CommentTextChar" w:customStyle="1">
    <w:name w:val="Comment Text Char"/>
    <w:basedOn w:val="DefaultParagraphFont"/>
    <w:link w:val="CommentText"/>
    <w:uiPriority w:val="99"/>
    <w:semiHidden/>
    <w:qFormat/>
    <w:rsid w:val="008c079e"/>
    <w:rPr>
      <w:rFonts w:ascii="Georgia" w:hAnsi="Georgia"/>
      <w:sz w:val="20"/>
      <w:szCs w:val="20"/>
    </w:rPr>
  </w:style>
  <w:style w:type="character" w:styleId="CommentSubjectChar" w:customStyle="1">
    <w:name w:val="Comment Subject Char"/>
    <w:basedOn w:val="CommentTextChar"/>
    <w:link w:val="CommentSubject"/>
    <w:uiPriority w:val="99"/>
    <w:semiHidden/>
    <w:qFormat/>
    <w:rsid w:val="008c079e"/>
    <w:rPr>
      <w:rFonts w:ascii="Georgia" w:hAnsi="Georgia"/>
      <w:b/>
      <w:bCs/>
      <w:sz w:val="20"/>
      <w:szCs w:val="20"/>
    </w:rPr>
  </w:style>
  <w:style w:type="character" w:styleId="BalloonTextChar" w:customStyle="1">
    <w:name w:val="Balloon Text Char"/>
    <w:basedOn w:val="DefaultParagraphFont"/>
    <w:link w:val="BalloonText"/>
    <w:uiPriority w:val="99"/>
    <w:semiHidden/>
    <w:qFormat/>
    <w:rsid w:val="008c079e"/>
    <w:rPr>
      <w:rFonts w:ascii="Segoe UI" w:hAnsi="Segoe UI" w:cs="Segoe UI"/>
      <w:sz w:val="18"/>
      <w:szCs w:val="18"/>
    </w:rPr>
  </w:style>
  <w:style w:type="character" w:styleId="UnresolvedMention2" w:customStyle="1">
    <w:name w:val="Unresolved Mention2"/>
    <w:basedOn w:val="DefaultParagraphFont"/>
    <w:uiPriority w:val="99"/>
    <w:semiHidden/>
    <w:unhideWhenUsed/>
    <w:qFormat/>
    <w:rsid w:val="00375fd7"/>
    <w:rPr>
      <w:color w:val="808080"/>
      <w:shd w:fill="E6E6E6" w:val="clear"/>
    </w:rPr>
  </w:style>
  <w:style w:type="character" w:styleId="ListLabel1">
    <w:name w:val="ListLabel 1"/>
    <w:qFormat/>
    <w:rPr>
      <w:rFonts w:cs="Arial"/>
    </w:rPr>
  </w:style>
  <w:style w:type="character" w:styleId="ListLabel2">
    <w:name w:val="ListLabel 2"/>
    <w:qFormat/>
    <w:rPr>
      <w:rFonts w:cs="Arial"/>
    </w:rPr>
  </w:style>
  <w:style w:type="character" w:styleId="ListLabel3">
    <w:name w:val="ListLabel 3"/>
    <w:qFormat/>
    <w:rPr>
      <w:rFonts w:cs="Arial"/>
    </w:rPr>
  </w:style>
  <w:style w:type="character" w:styleId="ListLabel4">
    <w:name w:val="ListLabel 4"/>
    <w:qFormat/>
    <w:rPr>
      <w:rFonts w:cs="Arial"/>
    </w:rPr>
  </w:style>
  <w:style w:type="character" w:styleId="ListLabel5">
    <w:name w:val="ListLabel 5"/>
    <w:qFormat/>
    <w:rPr>
      <w:rFonts w:cs="Arial"/>
    </w:rPr>
  </w:style>
  <w:style w:type="character" w:styleId="ListLabel6">
    <w:name w:val="ListLabel 6"/>
    <w:qFormat/>
    <w:rPr>
      <w:rFonts w:cs="Arial"/>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b2353b"/>
    <w:pPr>
      <w:spacing w:lineRule="auto" w:line="276" w:before="0" w:after="120"/>
      <w:contextualSpacing/>
      <w:jc w:val="center"/>
    </w:pPr>
    <w:rPr>
      <w:rFonts w:ascii="FreeSans" w:hAnsi="FreeSans" w:eastAsia="" w:cs="" w:cstheme="majorBidi" w:eastAsiaTheme="majorEastAsia"/>
      <w:b/>
      <w:bCs/>
      <w:spacing w:val="-10"/>
      <w:kern w:val="2"/>
      <w:sz w:val="56"/>
      <w:szCs w:val="56"/>
    </w:rPr>
  </w:style>
  <w:style w:type="paragraph" w:styleId="BlockText">
    <w:name w:val="Block Text"/>
    <w:basedOn w:val="Normal"/>
    <w:uiPriority w:val="99"/>
    <w:unhideWhenUsed/>
    <w:qFormat/>
    <w:rsid w:val="00e45fea"/>
    <w:pPr>
      <w:spacing w:before="120" w:after="120"/>
      <w:ind w:left="1151" w:right="1151" w:hanging="0"/>
    </w:pPr>
    <w:rPr>
      <w:rFonts w:eastAsia="" w:eastAsiaTheme="minorEastAsia"/>
      <w:iCs/>
    </w:rPr>
  </w:style>
  <w:style w:type="paragraph" w:styleId="Footer">
    <w:name w:val="Footer"/>
    <w:basedOn w:val="Normal"/>
    <w:link w:val="FooterChar"/>
    <w:uiPriority w:val="99"/>
    <w:unhideWhenUsed/>
    <w:rsid w:val="0056447f"/>
    <w:pPr>
      <w:tabs>
        <w:tab w:val="center" w:pos="4513" w:leader="none"/>
        <w:tab w:val="right" w:pos="9026" w:leader="none"/>
      </w:tabs>
    </w:pPr>
    <w:rPr>
      <w:sz w:val="16"/>
    </w:rPr>
  </w:style>
  <w:style w:type="paragraph" w:styleId="Header">
    <w:name w:val="Header"/>
    <w:basedOn w:val="Normal"/>
    <w:link w:val="HeaderChar"/>
    <w:uiPriority w:val="99"/>
    <w:unhideWhenUsed/>
    <w:rsid w:val="0056447f"/>
    <w:pPr>
      <w:tabs>
        <w:tab w:val="center" w:pos="4513" w:leader="none"/>
        <w:tab w:val="right" w:pos="9026" w:leader="none"/>
      </w:tabs>
    </w:pPr>
    <w:rPr>
      <w:sz w:val="16"/>
    </w:rPr>
  </w:style>
  <w:style w:type="paragraph" w:styleId="Subtitle">
    <w:name w:val="Subtitle"/>
    <w:basedOn w:val="Normal"/>
    <w:next w:val="Normal"/>
    <w:link w:val="SubtitleChar"/>
    <w:uiPriority w:val="11"/>
    <w:qFormat/>
    <w:rsid w:val="00377db4"/>
    <w:pPr>
      <w:spacing w:lineRule="auto" w:line="276"/>
      <w:jc w:val="center"/>
    </w:pPr>
    <w:rPr>
      <w:rFonts w:ascii="FreeSans" w:hAnsi="FreeSans" w:eastAsia="" w:eastAsiaTheme="minorEastAsia"/>
      <w:b/>
      <w:bCs/>
      <w:i w:val="false"/>
      <w:iCs w:val="false"/>
      <w:color w:val="000000"/>
      <w:spacing w:val="15"/>
      <w:sz w:val="32"/>
      <w:szCs w:val="32"/>
    </w:rPr>
  </w:style>
  <w:style w:type="paragraph" w:styleId="ListParagraph">
    <w:name w:val="List Paragraph"/>
    <w:basedOn w:val="Normal"/>
    <w:uiPriority w:val="34"/>
    <w:qFormat/>
    <w:rsid w:val="00db1390"/>
    <w:pPr>
      <w:spacing w:before="0" w:after="120"/>
      <w:ind w:left="720" w:hanging="0"/>
      <w:contextualSpacing/>
    </w:pPr>
    <w:rPr>
      <w:rFonts w:eastAsia="Arial" w:cs="Arial"/>
      <w:lang w:eastAsia="en-AU"/>
    </w:rPr>
  </w:style>
  <w:style w:type="paragraph" w:styleId="EndNoteBibliographyTitle" w:customStyle="1">
    <w:name w:val="EndNote Bibliography Title"/>
    <w:basedOn w:val="Normal"/>
    <w:link w:val="EndNoteBibliographyTitleChar"/>
    <w:qFormat/>
    <w:rsid w:val="00640b60"/>
    <w:pPr>
      <w:jc w:val="center"/>
    </w:pPr>
    <w:rPr>
      <w:rFonts w:cs="Times New Roman"/>
      <w:lang w:val="en-US"/>
    </w:rPr>
  </w:style>
  <w:style w:type="paragraph" w:styleId="EndNoteBibliography" w:customStyle="1">
    <w:name w:val="EndNote Bibliography"/>
    <w:basedOn w:val="Normal"/>
    <w:link w:val="EndNoteBibliographyChar"/>
    <w:qFormat/>
    <w:rsid w:val="00640b60"/>
    <w:pPr>
      <w:spacing w:lineRule="auto" w:line="240"/>
    </w:pPr>
    <w:rPr>
      <w:rFonts w:cs="Times New Roman"/>
      <w:lang w:val="en-US"/>
    </w:rPr>
  </w:style>
  <w:style w:type="paragraph" w:styleId="Annotationtext">
    <w:name w:val="annotation text"/>
    <w:basedOn w:val="Normal"/>
    <w:link w:val="CommentTextChar"/>
    <w:uiPriority w:val="99"/>
    <w:semiHidden/>
    <w:unhideWhenUsed/>
    <w:qFormat/>
    <w:rsid w:val="008c079e"/>
    <w:pPr/>
    <w:rPr>
      <w:szCs w:val="20"/>
    </w:rPr>
  </w:style>
  <w:style w:type="paragraph" w:styleId="Annotationsubject">
    <w:name w:val="annotation subject"/>
    <w:basedOn w:val="Annotationtext"/>
    <w:link w:val="CommentSubjectChar"/>
    <w:uiPriority w:val="99"/>
    <w:semiHidden/>
    <w:unhideWhenUsed/>
    <w:qFormat/>
    <w:rsid w:val="008c079e"/>
    <w:pPr/>
    <w:rPr>
      <w:b/>
      <w:bCs/>
    </w:rPr>
  </w:style>
  <w:style w:type="paragraph" w:styleId="BalloonText">
    <w:name w:val="Balloon Text"/>
    <w:basedOn w:val="Normal"/>
    <w:link w:val="BalloonTextChar"/>
    <w:uiPriority w:val="99"/>
    <w:semiHidden/>
    <w:unhideWhenUsed/>
    <w:qFormat/>
    <w:rsid w:val="008c079e"/>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d03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3B583-0205-4A9C-91AF-A14E816D9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Application>LibreOffice/6.0.6.2$Linux_X86_64 LibreOffice_project/00m0$Build-2</Application>
  <Pages>15</Pages>
  <Words>4856</Words>
  <Characters>27851</Characters>
  <CharactersWithSpaces>32524</CharactersWithSpaces>
  <Paragraphs>88</Paragraphs>
  <Company>Anonymous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2018-10-23T22:02:00Z</dcterms:created>
  <dc:creator>Anonymous</dc:creator>
  <dc:description/>
  <dc:language>en-AU</dc:language>
  <cp:lastModifiedBy/>
  <cp:lastPrinted>2018-10-25T03:50:00Z</cp:lastPrinted>
  <dcterms:modified xsi:type="dcterms:W3CDTF">2018-11-27T16:19:27Z</dcterms:modified>
  <cp:revision>7</cp:revision>
  <dc:subject/>
  <dc:title>ACSPRI Conference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Anonymous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