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document.xml" ContentType="application/vnd.openxmlformats-officedocument.wordprocessingml.document.main+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le"/>
        <w:spacing w:lineRule="auto" w:line="276"/>
        <w:rPr/>
      </w:pPr>
      <w:r>
        <w:rPr/>
        <w:t>A family-video to die for: Bringing the family back to family-centred palliative care with VRE</w:t>
      </w:r>
    </w:p>
    <w:p>
      <w:pPr>
        <w:pStyle w:val="TextBody"/>
        <w:rPr/>
      </w:pPr>
      <w:r>
        <w:rPr/>
      </w:r>
    </w:p>
    <w:p>
      <w:pPr>
        <w:pStyle w:val="Subtitle"/>
        <w:rPr/>
      </w:pPr>
      <w:r>
        <w:rPr>
          <w:b/>
          <w:bCs/>
        </w:rPr>
        <w:t>Hamm</w:t>
      </w:r>
      <w:r>
        <w:rPr>
          <w:b/>
          <w:bCs/>
        </w:rPr>
        <w:t>i</w:t>
      </w:r>
      <w:r>
        <w:rPr>
          <w:b/>
          <w:bCs/>
        </w:rPr>
        <w:t>ll, Katherine</w:t>
      </w:r>
      <w:r>
        <w:rPr/>
        <w:t xml:space="preserve"> </w:t>
      </w:r>
      <w:r>
        <w:rPr>
          <w:i/>
          <w:iCs/>
        </w:rPr>
        <w:t>Western Sydney University</w:t>
      </w:r>
    </w:p>
    <w:p>
      <w:pPr>
        <w:pStyle w:val="Subtitle"/>
        <w:rPr/>
      </w:pPr>
      <w:r>
        <w:rPr>
          <w:b/>
          <w:bCs/>
        </w:rPr>
        <w:t>Dadich, Anne</w:t>
      </w:r>
      <w:r>
        <w:rPr/>
        <w:t xml:space="preserve"> </w:t>
      </w:r>
      <w:r>
        <w:rPr>
          <w:i/>
          <w:iCs/>
        </w:rPr>
        <w:t>School of Business</w:t>
      </w:r>
      <w:r>
        <w:rPr>
          <w:i/>
          <w:iCs/>
        </w:rPr>
        <w:t>Western Sydney Uiversity</w:t>
      </w:r>
    </w:p>
    <w:p>
      <w:pPr>
        <w:pStyle w:val="Subtitle"/>
        <w:rPr/>
      </w:pPr>
      <w:r>
        <w:rPr>
          <w:b/>
          <w:bCs/>
        </w:rPr>
        <w:t>Aggarwal, Rajesh</w:t>
      </w:r>
      <w:r>
        <w:rPr/>
        <w:t xml:space="preserve"> </w:t>
      </w:r>
      <w:r>
        <w:rPr>
          <w:i/>
          <w:iCs/>
        </w:rPr>
        <w:t>South Western Sydney Local Health District</w:t>
      </w:r>
    </w:p>
    <w:p>
      <w:pPr>
        <w:pStyle w:val="Subtitle"/>
        <w:rPr/>
      </w:pPr>
      <w:r>
        <w:rPr>
          <w:b/>
          <w:bCs/>
        </w:rPr>
        <w:t>Peronchik, Jodie</w:t>
      </w:r>
      <w:r>
        <w:rPr/>
        <w:t xml:space="preserve"> </w:t>
      </w:r>
      <w:r>
        <w:rPr>
          <w:i/>
          <w:iCs/>
        </w:rPr>
        <w:t>South Western Sydney Local Health District</w:t>
      </w:r>
    </w:p>
    <w:p>
      <w:pPr>
        <w:pStyle w:val="Subtitle"/>
        <w:rPr/>
      </w:pPr>
      <w:r>
        <w:rPr>
          <w:b/>
          <w:bCs/>
        </w:rPr>
        <w:t>Vasquez, Daniela</w:t>
      </w:r>
      <w:r>
        <w:rPr/>
        <w:t xml:space="preserve"> </w:t>
      </w:r>
      <w:r>
        <w:rPr>
          <w:i/>
          <w:iCs/>
        </w:rPr>
        <w:t>South Western Sydney Local Health District</w:t>
      </w:r>
    </w:p>
    <w:p>
      <w:pPr>
        <w:pStyle w:val="Subtitle"/>
        <w:rPr/>
      </w:pPr>
      <w:r>
        <w:rPr>
          <w:b/>
          <w:bCs/>
        </w:rPr>
        <w:t>Bejjani, Charbel</w:t>
      </w:r>
      <w:r>
        <w:rPr/>
        <w:t xml:space="preserve"> </w:t>
      </w:r>
      <w:r>
        <w:rPr>
          <w:i/>
          <w:iCs/>
        </w:rPr>
        <w:t>South Western Sydney Local Health District</w:t>
      </w:r>
    </w:p>
    <w:p>
      <w:pPr>
        <w:pStyle w:val="TextBody"/>
        <w:rPr/>
      </w:pPr>
      <w:r>
        <w:rPr/>
      </w:r>
    </w:p>
    <w:p>
      <w:pPr>
        <w:pStyle w:val="TextBody"/>
        <w:rPr/>
      </w:pPr>
      <w:r>
        <w:rPr/>
      </w:r>
    </w:p>
    <w:p>
      <w:pPr>
        <w:pStyle w:val="Heading1"/>
        <w:spacing w:lineRule="auto" w:line="360"/>
        <w:rPr>
          <w:rFonts w:cs="Calibri" w:cstheme="minorHAnsi"/>
        </w:rPr>
      </w:pPr>
      <w:r>
        <w:rPr/>
        <w:t>Abstract</w:t>
      </w:r>
    </w:p>
    <w:p>
      <w:pPr>
        <w:pStyle w:val="TextBody"/>
        <w:spacing w:lineRule="auto" w:line="360"/>
        <w:rPr>
          <w:rFonts w:ascii="FreeSans" w:hAnsi="FreeSans"/>
        </w:rPr>
      </w:pPr>
      <w:r>
        <w:rPr>
          <w:rFonts w:ascii="FreeSans" w:hAnsi="FreeSans"/>
        </w:rPr>
        <w:t>Given the increasing global importance of palliative care, and international recognition of family members as a key part of this care, this article makes a case for video-reflexive ethnography (VRE) to better understand family-centred palliative care, particularly within the shared spaces of a hospital. Specifically, the article demonstrates how this participatory methodology helped to: capture diverse exemplars of family-centred palliative care via a digital-recorder; engage palliative care clinicians as co-researchers to make sense of their nuanced performances; and distil some of the ingredients that enable family-centred palliative care, particularly within a hospital. To personify this case, the article presents clinician narratives about VRE. Specifically, they recount: their initial impressions of, and reservations about VRE; how decisions were made about what was recorded, the video-recordings that were interpreted by the palliative care team during reflexive sessions, and why; the associated challenges; and what they learnt from their experiences. Collectively, these narratives indicate three key points. First, they show how VRE can make the invisible, visible, unveiling practices that might otherwise be overlooked, even among those depicted in the video-recordings. Second, they reveal how this participatory methodology encourages reflective and reflexive practice within a team whose members have limited opportunity to do this regularly, to understand and potentially improve their individual and collective practices. Third, the narratives illustrate how VRE can culminate with findings that resonate with those who have a stake in the area under investigation – by involving participants as co-researchers, the findings are likely to have greater relevance, meaning, and (local) impact. After establishing these contributions, this article concludes with a discussion of the associated implications for scholars, practitioners, and policymakers.</w:t>
      </w:r>
    </w:p>
    <w:p>
      <w:pPr>
        <w:pStyle w:val="TextBody"/>
        <w:spacing w:lineRule="auto" w:line="360"/>
        <w:rPr>
          <w:rFonts w:ascii="FreeSans" w:hAnsi="FreeSans"/>
        </w:rPr>
      </w:pPr>
      <w:r>
        <w:rPr>
          <w:rFonts w:ascii="FreeSans" w:hAnsi="FreeSans"/>
        </w:rPr>
      </w:r>
    </w:p>
    <w:p>
      <w:pPr>
        <w:pStyle w:val="Heading1"/>
        <w:spacing w:lineRule="auto" w:line="360"/>
        <w:rPr>
          <w:rFonts w:ascii="FreeSans" w:hAnsi="FreeSans"/>
        </w:rPr>
      </w:pPr>
      <w:r>
        <w:rPr/>
        <w:t>Introduction</w:t>
      </w:r>
    </w:p>
    <w:p>
      <w:pPr>
        <w:pStyle w:val="TextBody"/>
        <w:spacing w:lineRule="auto" w:line="360"/>
        <w:rPr/>
      </w:pPr>
      <w:bookmarkStart w:id="0" w:name="_rxki0hwv36bc"/>
      <w:bookmarkStart w:id="1" w:name="_z6b9bixc5xi5"/>
      <w:bookmarkStart w:id="2" w:name="_ix44idersnqn"/>
      <w:bookmarkStart w:id="3" w:name="_39takq8jbr43"/>
      <w:bookmarkStart w:id="4" w:name="_wuor25m90isx"/>
      <w:bookmarkStart w:id="5" w:name="_uj5qraj986nn"/>
      <w:bookmarkStart w:id="6" w:name="_jf5jgsv8k20y"/>
      <w:bookmarkEnd w:id="0"/>
      <w:bookmarkEnd w:id="1"/>
      <w:bookmarkEnd w:id="2"/>
      <w:bookmarkEnd w:id="3"/>
      <w:bookmarkEnd w:id="4"/>
      <w:bookmarkEnd w:id="5"/>
      <w:bookmarkEnd w:id="6"/>
      <w:r>
        <w:rPr>
          <w:rFonts w:ascii="FreeSans" w:hAnsi="FreeSans"/>
        </w:rPr>
        <w:t xml:space="preserve">In a world in which we are living longer with multi-morbidities, the importance of palliative care has never been greater. Contrary to widely-held belief, palliative care is not simply for those with ‘one foot in the grave’ – nor is it the sole domain of a select few clinicians who choose to pursue this contentious calling. According to international bodies, like the World Health Organization, palliative care is an ‘approach’ that aims to improve the quality of life of patients and their family members who manage the challenges associated with a life-limiting illness </w:t>
      </w:r>
      <w:r>
        <w:fldChar w:fldCharType="begin"/>
      </w:r>
      <w:r>
        <w:rPr/>
        <w:instrText>ADDIN EN.CITE &lt;EndNote&gt;&lt;Cite ExcludeAuth="1"&gt;&lt;Author&gt;WHO (World Health Organization)&lt;/Author&gt;&lt;Year&gt;2015&lt;/Year&gt;&lt;RecNum&gt;13120&lt;/RecNum&gt;&lt;Prefix&gt;WHO`, &lt;/Prefix&gt;&lt;Suffix&gt;`, emphasis added&lt;/Suffix&gt;&lt;DisplayText&gt;(WHO, 2015, emphasis added)&lt;/DisplayText&gt;&lt;record&gt;&lt;rec-number&gt;13120&lt;/rec-number&gt;&lt;foreign-keys&gt;&lt;key app="EN" db-id="tvawz2wwrwafv7e50wg5wxed5rpvxvp00eds" timestamp="1463551470"&gt;13120&lt;/key&gt;&lt;/foreign-keys&gt;&lt;ref-type name="Web Page"&gt;12&lt;/ref-type&gt;&lt;contributors&gt;&lt;authors&gt;&lt;author&gt;WHO (World Health Organization),&lt;/author&gt;&lt;/authors&gt;&lt;/contributors&gt;&lt;titles&gt;&lt;title&gt;Palliative care: Fact sheet N°402&lt;/title&gt;&lt;/titles&gt;&lt;volume&gt;2016&lt;/volume&gt;&lt;number&gt;22nd Mar.&lt;/number&gt;&lt;keywords&gt;&lt;keyword&gt;Brilliance Project&lt;/keyword&gt;&lt;keyword&gt;Palliative care&lt;/keyword&gt;&lt;/keywords&gt;&lt;dates&gt;&lt;year&gt;2015&lt;/year&gt;&lt;/dates&gt;&lt;pub-location&gt;Geneva&lt;/pub-location&gt;&lt;publisher&gt;WHO (World Health Organization)&lt;/publisher&gt;&lt;work-type&gt;Website&lt;/work-type&gt;&lt;urls&gt;&lt;related-urls&gt;&lt;url&gt;http://www.who.int/mediacentre/factsheets/fs402/en/&lt;/url&gt;&lt;/related-urls&gt;&lt;/urls&gt;&lt;/record&gt;&lt;/Cite&gt;&lt;/EndNote&gt;</w:instrText>
      </w:r>
      <w:r>
        <w:rPr/>
        <w:fldChar w:fldCharType="separate"/>
      </w:r>
      <w:bookmarkStart w:id="7" w:name="__Fieldmark__18169_2090204579"/>
      <w:r>
        <w:rPr/>
      </w:r>
      <w:r>
        <w:rPr>
          <w:rFonts w:ascii="FreeSans" w:hAnsi="FreeSans"/>
        </w:rPr>
        <w:t>(</w:t>
      </w:r>
      <w:bookmarkStart w:id="8" w:name="__Fieldmark__15545_2090204579"/>
      <w:r>
        <w:rPr>
          <w:rFonts w:ascii="FreeSans" w:hAnsi="FreeSans"/>
        </w:rPr>
        <w:t>WHO, 2015, emphasis added)</w:t>
      </w:r>
      <w:r>
        <w:rPr/>
      </w:r>
      <w:r>
        <w:rPr/>
        <w:fldChar w:fldCharType="end"/>
      </w:r>
      <w:bookmarkEnd w:id="7"/>
      <w:bookmarkEnd w:id="8"/>
      <w:r>
        <w:rPr>
          <w:rFonts w:ascii="FreeSans" w:hAnsi="FreeSans"/>
        </w:rPr>
        <w:t>. The expanse of this description suggests palliative care might be appropriate, long before and long after a patient requires end-of-life care.</w:t>
      </w:r>
    </w:p>
    <w:p>
      <w:pPr>
        <w:pStyle w:val="TextBody"/>
        <w:spacing w:lineRule="auto" w:line="360"/>
        <w:rPr/>
      </w:pPr>
      <w:r>
        <w:rPr>
          <w:rFonts w:ascii="FreeSans" w:hAnsi="FreeSans"/>
        </w:rPr>
        <w:t xml:space="preserve">Family-centred practice enables the patient, their family members, and clinicians to work towards mutual goals ‘through shared decision making and responsibility and mutual trust’ </w:t>
      </w:r>
      <w:r>
        <w:fldChar w:fldCharType="begin"/>
      </w:r>
      <w:r>
        <w:rPr/>
        <w:instrText>ADDIN EN.CITE &lt;EndNote&gt;&lt;Cite&gt;&lt;Author&gt;Dunst&lt;/Author&gt;&lt;Year&gt;2000&lt;/Year&gt;&lt;RecNum&gt;15653&lt;/RecNum&gt;&lt;Pages&gt;32&lt;/Pages&gt;&lt;DisplayText&gt;(Dunst, Trivette et al. 2000, p. 32)&lt;/DisplayText&gt;&lt;record&gt;&lt;rec-number&gt;15653&lt;/rec-number&gt;&lt;foreign-keys&gt;&lt;key app="EN" db-id="tvawz2wwrwafv7e50wg5wxed5rpvxvp00eds" timestamp="1540334793"&gt;15653&lt;/key&gt;&lt;/foreign-keys&gt;&lt;ref-type name="Book Section"&gt;5&lt;/ref-type&gt;&lt;contributors&gt;&lt;authors&gt;&lt;author&gt;Dunst, C.J.,&lt;/author&gt;&lt;author&gt;Trivette, C.M.,&lt;/author&gt;&lt;author&gt;Snyder, D.M.,&lt;/author&gt;&lt;/authors&gt;&lt;secondary-authors&gt;&lt;author&gt;Fine, M.J.,&lt;/author&gt;&lt;author&gt;Simpson, R.L.,&lt;/author&gt;&lt;/secondary-authors&gt;&lt;/contributors&gt;&lt;titles&gt;&lt;title&gt;Family-professional partnerships: A behavioral science perspective&lt;/title&gt;&lt;secondary-title&gt;Collaboration with parents and families of children and youth with exceptionalities&lt;/secondary-title&gt;&lt;/titles&gt;&lt;pages&gt;27-48&lt;/pages&gt;&lt;edition&gt;Second&lt;/edition&gt;&lt;keywords&gt;&lt;keyword&gt;Cultural characteristics&lt;/keyword&gt;&lt;keyword&gt;Dissemination&lt;/keyword&gt;&lt;keyword&gt;Ethnic groups&lt;/keyword&gt;&lt;keyword&gt;Evidence-based practice&lt;/keyword&gt;&lt;keyword&gt;Family&lt;/keyword&gt;&lt;keyword&gt;Knowledge transfer&lt;/keyword&gt;&lt;keyword&gt;Palliative care&lt;/keyword&gt;&lt;keyword&gt;Translation&lt;/keyword&gt;&lt;/keywords&gt;&lt;dates&gt;&lt;year&gt;2000&lt;/year&gt;&lt;/dates&gt;&lt;pub-location&gt;Austin, TX&lt;/pub-location&gt;&lt;publisher&gt;Pro Ed&lt;/publisher&gt;&lt;urls&gt;&lt;/urls&gt;&lt;/record&gt;&lt;/Cite&gt;&lt;/EndNote&gt;</w:instrText>
      </w:r>
      <w:r>
        <w:rPr/>
        <w:fldChar w:fldCharType="separate"/>
      </w:r>
      <w:bookmarkStart w:id="9" w:name="__Fieldmark__18178_2090204579"/>
      <w:r>
        <w:rPr/>
      </w:r>
      <w:r>
        <w:rPr>
          <w:rFonts w:ascii="FreeSans" w:hAnsi="FreeSans"/>
        </w:rPr>
        <w:t>(</w:t>
      </w:r>
      <w:bookmarkStart w:id="10" w:name="__Fieldmark__15555_2090204579"/>
      <w:r>
        <w:rPr>
          <w:rFonts w:ascii="FreeSans" w:hAnsi="FreeSans"/>
        </w:rPr>
        <w:t>Dunst, Trivette et al. 2000, p. 32)</w:t>
      </w:r>
      <w:r>
        <w:rPr/>
      </w:r>
      <w:r>
        <w:rPr/>
        <w:fldChar w:fldCharType="end"/>
      </w:r>
      <w:bookmarkEnd w:id="9"/>
      <w:bookmarkEnd w:id="10"/>
      <w:r>
        <w:rPr>
          <w:rFonts w:ascii="FreeSans" w:hAnsi="FreeSans"/>
        </w:rPr>
        <w:t xml:space="preserve">. Explicit international acknowledgement of family members recognises their pivotal role in managing the challenges associated with a life-limiting illness. Specifically, it recognises that: family members have expertise that complements that of patients and clinicians; family members typically assume responsibility for the care that clinicians and health services cannot (or will not) provide; and family members might require support after a loved one has died, potentially reducing psychosocial issues thereafter that might require specialised therapies </w:t>
      </w:r>
      <w:r>
        <w:fldChar w:fldCharType="begin"/>
      </w:r>
      <w:r>
        <w:rPr/>
        <w:instrText>ADDIN EN.CITE &lt;EndNote&gt;&lt;Cite&gt;&lt;Author&gt;Mitschke&lt;/Author&gt;&lt;Year&gt;2008&lt;/Year&gt;&lt;RecNum&gt;15654&lt;/RecNum&gt;&lt;DisplayText&gt;(Mitschke 2008)&lt;/DisplayText&gt;&lt;record&gt;&lt;rec-number&gt;15654&lt;/rec-number&gt;&lt;foreign-keys&gt;&lt;key app="EN" db-id="tvawz2wwrwafv7e50wg5wxed5rpvxvp00eds" timestamp="1540335055"&gt;15654&lt;/key&gt;&lt;/foreign-keys&gt;&lt;ref-type name="Journal Article"&gt;17&lt;/ref-type&gt;&lt;contributors&gt;&lt;authors&gt;&lt;author&gt;Mitschke, D.B.,&lt;/author&gt;&lt;/authors&gt;&lt;/contributors&gt;&lt;titles&gt;&lt;title&gt;Cancer in the family: Review of the psychosocial perspectives of patients and family members&lt;/title&gt;&lt;secondary-title&gt;Journal of Family Social Work&lt;/secondary-title&gt;&lt;/titles&gt;&lt;periodical&gt;&lt;full-title&gt;Journal of Family Social Work&lt;/full-title&gt;&lt;abbr-1&gt;J. Fam. Soc. Work&lt;/abbr-1&gt;&lt;abbr-2&gt;J Fam Soc Work&lt;/abbr-2&gt;&lt;/periodical&gt;&lt;pages&gt;166-184&lt;/pages&gt;&lt;volume&gt;11&lt;/volume&gt;&lt;number&gt;2&lt;/number&gt;&lt;keywords&gt;&lt;keyword&gt;Cultural characteristics&lt;/keyword&gt;&lt;keyword&gt;Dissemination&lt;/keyword&gt;&lt;keyword&gt;Ethnic groups&lt;/keyword&gt;&lt;keyword&gt;Evidence-based practice&lt;/keyword&gt;&lt;keyword&gt;Family&lt;/keyword&gt;&lt;keyword&gt;Knowledge transfer&lt;/keyword&gt;&lt;keyword&gt;Palliative care&lt;/keyword&gt;&lt;keyword&gt;Translation&lt;/keyword&gt;&lt;/keywords&gt;&lt;dates&gt;&lt;year&gt;2008&lt;/year&gt;&lt;/dates&gt;&lt;urls&gt;&lt;/urls&gt;&lt;/record&gt;&lt;/Cite&gt;&lt;/EndNote&gt;</w:instrText>
      </w:r>
      <w:r>
        <w:rPr/>
        <w:fldChar w:fldCharType="separate"/>
      </w:r>
      <w:bookmarkStart w:id="11" w:name="__Fieldmark__18185_2090204579"/>
      <w:r>
        <w:rPr/>
      </w:r>
      <w:r>
        <w:rPr>
          <w:rFonts w:ascii="FreeSans" w:hAnsi="FreeSans"/>
        </w:rPr>
        <w:t>(</w:t>
      </w:r>
      <w:bookmarkStart w:id="12" w:name="__Fieldmark__15565_2090204579"/>
      <w:r>
        <w:rPr>
          <w:rFonts w:ascii="FreeSans" w:hAnsi="FreeSans"/>
        </w:rPr>
        <w:t>Mitschke 2008)</w:t>
      </w:r>
      <w:r>
        <w:rPr/>
      </w:r>
      <w:r>
        <w:rPr/>
        <w:fldChar w:fldCharType="end"/>
      </w:r>
      <w:bookmarkEnd w:id="11"/>
      <w:bookmarkEnd w:id="12"/>
      <w:r>
        <w:rPr>
          <w:rFonts w:ascii="FreeSans" w:hAnsi="FreeSans"/>
        </w:rPr>
        <w:t>.</w:t>
      </w:r>
    </w:p>
    <w:p>
      <w:pPr>
        <w:pStyle w:val="TextBody"/>
        <w:spacing w:lineRule="auto" w:line="360"/>
        <w:rPr>
          <w:rFonts w:cs="Calibri" w:cstheme="minorHAnsi"/>
          <w:highlight w:val="white"/>
        </w:rPr>
      </w:pPr>
      <w:r>
        <w:rPr>
          <w:rFonts w:ascii="FreeSans" w:hAnsi="FreeSans"/>
        </w:rPr>
        <w:t>Although palliative care that is family-centred makes sense for several reasons, there is limited clarity on what it involves and how it is performed. For instance, how might clinicians who represent different disciplines (and positions within a well-established healthcare hierarchy) collaborate to form trusting relationships with family members, and engage them in conversations about advance care plans and end-of-life care for a loved one? Furthermore, when a patient is admitted to hospital, family-centred palliative care is often delivered within shared spaces. By virtue of building-design and/or room-layout, sensitive conversations sometimes transpire behind a thin curtain that serves as a makeshift wall between hospital beds and pretends to offer discretion. Given these (and perhaps other) challenges, it is important to clarify how family-centred palliative care is enacted.</w:t>
      </w:r>
    </w:p>
    <w:p>
      <w:pPr>
        <w:pStyle w:val="TextBody"/>
        <w:spacing w:lineRule="auto" w:line="360"/>
        <w:rPr>
          <w:rFonts w:cs="Calibri" w:cstheme="minorHAnsi"/>
          <w:highlight w:val="white"/>
        </w:rPr>
      </w:pPr>
      <w:r>
        <w:rPr>
          <w:rFonts w:ascii="FreeSans" w:hAnsi="FreeSans"/>
        </w:rPr>
        <w:t>Equally important is the methodological question of how might family-centred palliative care be captured, examined, critiqued, understood, and described? Given the myriad dynamics that shape such care, it can be difficult to honourably represent these in ways that are meaningful to those who experience it, and to those who would like to learn about it.</w:t>
      </w:r>
    </w:p>
    <w:p>
      <w:pPr>
        <w:pStyle w:val="TextBody"/>
        <w:spacing w:lineRule="auto" w:line="360"/>
        <w:rPr>
          <w:rFonts w:ascii="FreeSans" w:hAnsi="FreeSans"/>
        </w:rPr>
      </w:pPr>
      <w:r>
        <w:rPr>
          <w:rFonts w:ascii="FreeSans" w:hAnsi="FreeSans"/>
        </w:rPr>
        <w:t xml:space="preserve">To better understand family-centred palliative care within a hospital and how it is enacted, this article makes a case for video-reflexive ethnography (VRE) to make the invisible, visible. Specifically, it demonstrates how this participatory methodology helped to: capture diverse exemplars of such care via a video-recorder; engage palliative care clinicians as co-researchers to make sense of their nuanced performances; and distil some of the ingredients that enable family-centred palliative care in an </w:t>
      </w:r>
      <w:bookmarkStart w:id="13" w:name="_Hlk528167168"/>
      <w:r>
        <w:rPr>
          <w:rFonts w:ascii="FreeSans" w:hAnsi="FreeSans"/>
        </w:rPr>
        <w:t>acute hospital</w:t>
      </w:r>
      <w:bookmarkEnd w:id="13"/>
      <w:r>
        <w:rPr>
          <w:rFonts w:ascii="FreeSans" w:hAnsi="FreeSans"/>
        </w:rPr>
        <w:t>. To exemplify this case, the article presents clinician narratives on their perceptions of, and experiences with this methodology.</w:t>
      </w:r>
    </w:p>
    <w:p>
      <w:pPr>
        <w:pStyle w:val="TextBody"/>
        <w:spacing w:lineRule="auto" w:line="360"/>
        <w:rPr>
          <w:rFonts w:cs="Calibri" w:cstheme="minorHAnsi"/>
        </w:rPr>
      </w:pPr>
      <w:r>
        <w:rPr>
          <w:rFonts w:cs="Calibri" w:cstheme="minorHAnsi"/>
        </w:rPr>
      </w:r>
    </w:p>
    <w:p>
      <w:pPr>
        <w:pStyle w:val="Heading1"/>
        <w:rPr/>
      </w:pPr>
      <w:r>
        <w:rPr/>
        <w:t>Methodology</w:t>
      </w:r>
    </w:p>
    <w:p>
      <w:pPr>
        <w:pStyle w:val="TextBody"/>
        <w:spacing w:lineRule="auto" w:line="360"/>
        <w:rPr/>
      </w:pPr>
      <w:r>
        <w:rPr>
          <w:rFonts w:ascii="FreeSans" w:hAnsi="FreeSans"/>
        </w:rPr>
        <w:t xml:space="preserve">Following clearance from the relevant ethics committees, four clinicians (namely, two doctors and two nurses) who offered a consultative palliative care service within an acute hospital were invited to participate in a study that used VRE. VRE is a collaborative methodology with demonstrated capacity to reveal taken-for-granted healthcare practices </w:t>
      </w:r>
      <w:r>
        <w:fldChar w:fldCharType="begin"/>
      </w:r>
      <w:r>
        <w:rPr/>
        <w:instrText>ADDIN EN.CITE &lt;EndNote&gt;&lt;Cite&gt;&lt;Author&gt;Iedema&lt;/Author&gt;&lt;Year&gt;2018&lt;/Year&gt;&lt;RecNum&gt;15078&lt;/RecNum&gt;&lt;DisplayText&gt;(Iedema, Carroll et al. 2018)&lt;/DisplayText&gt;&lt;record&gt;&lt;rec-number&gt;15078&lt;/rec-number&gt;&lt;foreign-keys&gt;&lt;key app="EN" db-id="tvawz2wwrwafv7e50wg5wxed5rpvxvp00eds" timestamp="1524822418"&gt;15078&lt;/key&gt;&lt;/foreign-keys&gt;&lt;ref-type name="Book"&gt;6&lt;/ref-type&gt;&lt;contributors&gt;&lt;authors&gt;&lt;author&gt;Iedema, R.,&lt;/author&gt;&lt;author&gt;Carroll, K.,&lt;/author&gt;&lt;author&gt;Collier, A.,&lt;/author&gt;&lt;author&gt;Hor, S.,&lt;/author&gt;&lt;author&gt;Mesman, J.,&lt;/author&gt;&lt;author&gt;Wyer, M.,&lt;/author&gt;&lt;/authors&gt;&lt;/contributors&gt;&lt;titles&gt;&lt;title&gt;Video reflexive ethnography in health research and healthcare improvement&lt;/title&gt;&lt;/titles&gt;&lt;keywords&gt;&lt;keyword&gt;Epistemology&lt;/keyword&gt;&lt;keyword&gt;Ethnography&lt;/keyword&gt;&lt;keyword&gt;Interpretive&lt;/keyword&gt;&lt;keyword&gt;Methodology&lt;/keyword&gt;&lt;keyword&gt;Qualitative research&lt;/keyword&gt;&lt;keyword&gt;Research design&lt;/keyword&gt;&lt;keyword&gt;Visual&lt;/keyword&gt;&lt;/keywords&gt;&lt;dates&gt;&lt;year&gt;2018&lt;/year&gt;&lt;/dates&gt;&lt;pub-location&gt;Milton Park&lt;/pub-location&gt;&lt;publisher&gt;Taylor &amp;amp; Francis&lt;/publisher&gt;&lt;urls&gt;&lt;/urls&gt;&lt;/record&gt;&lt;/Cite&gt;&lt;/EndNote&gt;</w:instrText>
      </w:r>
      <w:r>
        <w:rPr/>
        <w:fldChar w:fldCharType="separate"/>
      </w:r>
      <w:bookmarkStart w:id="14" w:name="__Fieldmark__18202_2090204579"/>
      <w:r>
        <w:rPr/>
      </w:r>
      <w:r>
        <w:rPr>
          <w:rFonts w:ascii="FreeSans" w:hAnsi="FreeSans"/>
        </w:rPr>
        <w:t>(</w:t>
      </w:r>
      <w:bookmarkStart w:id="15" w:name="__Fieldmark__15621_2090204579"/>
      <w:r>
        <w:rPr>
          <w:rFonts w:ascii="FreeSans" w:hAnsi="FreeSans"/>
        </w:rPr>
        <w:t>Iedema, Carroll et al. 2018)</w:t>
      </w:r>
      <w:r>
        <w:rPr/>
      </w:r>
      <w:r>
        <w:rPr/>
        <w:fldChar w:fldCharType="end"/>
      </w:r>
      <w:bookmarkEnd w:id="14"/>
      <w:bookmarkEnd w:id="15"/>
      <w:r>
        <w:rPr>
          <w:rFonts w:ascii="FreeSans" w:hAnsi="FreeSans"/>
        </w:rPr>
        <w:t>. It involves the negotiated videoing of everyday practices and/or experiences and critiquing the footage during reflexive sessions to make sense of these data. Although VRE can be operationalised in different ways, its use in this study was shaped by clinician preferences. As such, their participation involved: allowing the academic researchers to observe, video-record, and/or interview them; selecting video-clips for reflexive sessions; and/or participating in reflexive sessions.</w:t>
      </w:r>
    </w:p>
    <w:p>
      <w:pPr>
        <w:pStyle w:val="TextBody"/>
        <w:spacing w:lineRule="auto" w:line="360"/>
        <w:rPr>
          <w:rFonts w:eastAsia="Georgia" w:cs="Calibri" w:cstheme="minorHAnsi"/>
          <w:szCs w:val="20"/>
        </w:rPr>
      </w:pPr>
      <w:r>
        <w:rPr>
          <w:rFonts w:ascii="FreeSans" w:hAnsi="FreeSans"/>
        </w:rPr>
        <w:t>The clinicians were shadowed over two months (April and May 2018). During this period, they consulted 11 patients and their family members, all of who allowed their consultation(s) to be video-recorded. The nurses then selected edited video-clips (of approximately two minutes in duration) for the reflexive sessions, with a view to diversify palliative care practices. Following this, the academic researchers co-facilitated two reflexive sessions with the palliative care clinicians to analyse the nurses’ selections and ultimately clarify how family-centred palliative care within a hospital is enacted.</w:t>
      </w:r>
    </w:p>
    <w:p>
      <w:pPr>
        <w:pStyle w:val="TextBody"/>
        <w:spacing w:lineRule="auto" w:line="360"/>
        <w:rPr>
          <w:rFonts w:ascii="FreeSans" w:hAnsi="FreeSans"/>
        </w:rPr>
      </w:pPr>
      <w:r>
        <w:rPr>
          <w:rFonts w:ascii="FreeSans" w:hAnsi="FreeSans"/>
        </w:rPr>
        <w:t>To understand their perceptions of, and experiences with VRE, the four clinicians participated in semi-structured interviews. Specifically, they were invited to reflect on: their initial impressions of, and reservations about VRE; how decisions were made about what was recorded, the video-recordings that were analysed during reflexive sessions, who participated in these reflexive sessions, and why; the associated challenges; and what they learnt from their experiences. Digital-recordings of the interviews were transcribed verbatim, and the transcripts were analysed. This involved: identifying shared and disparate sentiments, within and among the transcripts; constructing themes that represented these similarities and differences; and crafting a narrative to coherently capture each clinician’s experiences. The following section presents the four deidentified narratives to respectfully retain the voice of each clinician.</w:t>
      </w:r>
    </w:p>
    <w:p>
      <w:pPr>
        <w:pStyle w:val="TextBody"/>
        <w:spacing w:lineRule="auto" w:line="360"/>
        <w:rPr>
          <w:rFonts w:eastAsia="Georgia" w:cs="Calibri" w:cstheme="minorHAnsi"/>
          <w:szCs w:val="20"/>
        </w:rPr>
      </w:pPr>
      <w:r>
        <w:rPr>
          <w:rFonts w:eastAsia="Georgia" w:cs="Calibri" w:cstheme="minorHAnsi"/>
          <w:szCs w:val="20"/>
        </w:rPr>
      </w:r>
    </w:p>
    <w:p>
      <w:pPr>
        <w:pStyle w:val="Heading1"/>
        <w:rPr/>
      </w:pPr>
      <w:bookmarkStart w:id="16" w:name="_iz6qi1go4a3t"/>
      <w:bookmarkStart w:id="17" w:name="_w7bma59yzvsc"/>
      <w:bookmarkEnd w:id="16"/>
      <w:bookmarkEnd w:id="17"/>
      <w:r>
        <w:rPr/>
        <w:t>Findings</w:t>
      </w:r>
    </w:p>
    <w:p>
      <w:pPr>
        <w:pStyle w:val="Heading2"/>
        <w:rPr/>
      </w:pPr>
      <w:r>
        <w:rPr/>
        <w:t>Clinician One</w:t>
      </w:r>
    </w:p>
    <w:p>
      <w:pPr>
        <w:pStyle w:val="TextBody"/>
        <w:spacing w:lineRule="auto" w:line="360"/>
        <w:rPr>
          <w:rFonts w:ascii="FreeSans" w:hAnsi="FreeSans"/>
        </w:rPr>
      </w:pPr>
      <w:r>
        <w:rPr>
          <w:rFonts w:ascii="FreeSans" w:hAnsi="FreeSans"/>
        </w:rPr>
        <w:t>Upon learning about VRE, Clinician One was apprehensive about its participatory ethos. This was interpreted to denote increased responsibilities and an increased workload. Couched as a concern ‘about the practicality of… doing this’, they recalled feeling ‘quite nervous as to who was going to actually film’. Cognisant of their current duties and limited time, they were reluctant to commit to additional roles, particularly ones that were unfamiliar and would require some orientation. Although the academic researchers assumed greater roles to manage this concern, it demonstrates the ways in which ‘participatory’ can be interpreted:</w:t>
      </w:r>
    </w:p>
    <w:p>
      <w:pPr>
        <w:pStyle w:val="TextBody"/>
        <w:spacing w:lineRule="auto" w:line="360"/>
        <w:rPr>
          <w:rFonts w:ascii="FreeSans" w:hAnsi="FreeSans"/>
        </w:rPr>
      </w:pPr>
      <w:r>
        <w:rPr>
          <w:rFonts w:ascii="FreeSans" w:hAnsi="FreeSans"/>
        </w:rPr>
        <w:t>Just knowing my own workload, having to have this as a primary responsibility on top of everything, I think I was quite concerned.</w:t>
      </w:r>
    </w:p>
    <w:p>
      <w:pPr>
        <w:pStyle w:val="TextBody"/>
        <w:spacing w:lineRule="auto" w:line="360"/>
        <w:rPr>
          <w:rFonts w:ascii="FreeSans" w:hAnsi="FreeSans"/>
        </w:rPr>
      </w:pPr>
      <w:r>
        <w:rPr>
          <w:rFonts w:ascii="FreeSans" w:hAnsi="FreeSans"/>
        </w:rPr>
        <w:t>Clinician One also recalled presupposing they would feel self-conscious when video-recorded. To moderate this, they found it helpful to ensure ‘better behaviour than what… would normally be [while ensuring they were]… still myself in terms of my own personality’:</w:t>
      </w:r>
    </w:p>
    <w:p>
      <w:pPr>
        <w:pStyle w:val="TextBody"/>
        <w:spacing w:lineRule="auto" w:line="360"/>
        <w:rPr>
          <w:rFonts w:ascii="FreeSans" w:hAnsi="FreeSans"/>
        </w:rPr>
      </w:pPr>
      <w:r>
        <w:rPr>
          <w:rFonts w:ascii="FreeSans" w:hAnsi="FreeSans"/>
        </w:rPr>
        <w:t>I made sure my communication was clear… but I was still… jovial with patients, where it’s appropriate, making jokes, anything like that… I don’t think it changed my approach to patients or my clinical judgement or the way I converse.</w:t>
      </w:r>
    </w:p>
    <w:p>
      <w:pPr>
        <w:pStyle w:val="TextBody"/>
        <w:spacing w:lineRule="auto" w:line="360"/>
        <w:rPr>
          <w:rFonts w:cs="Calibri" w:cstheme="minorHAnsi"/>
        </w:rPr>
      </w:pPr>
      <w:r>
        <w:rPr>
          <w:rFonts w:ascii="FreeSans" w:hAnsi="FreeSans"/>
        </w:rPr>
        <w:t>According to Clinician One, determining when and where a video-recorder should be used was often difficult. They were challenged by: ‘finding somebody who was suitable’; and ensuring informed consent, sometimes within a four-bed room. In determining what should be video-recorded, Clinician One considered personal and social factors. These included: patient acknowledgement of their diagnosis and prognosis; patient rapport with individual clinicians and the referring medical team; as well as familial relationships. This was largely because palliative care necessitates trusting relationships and shared understandings – and sustaining these required nurturance:</w:t>
      </w:r>
    </w:p>
    <w:p>
      <w:pPr>
        <w:pStyle w:val="TextBody"/>
        <w:spacing w:lineRule="auto" w:line="360"/>
        <w:rPr>
          <w:rFonts w:ascii="FreeSans" w:hAnsi="FreeSans"/>
        </w:rPr>
      </w:pPr>
      <w:r>
        <w:rPr>
          <w:rFonts w:ascii="FreeSans" w:hAnsi="FreeSans"/>
        </w:rPr>
        <w:t>One of my concerns was it was difficult to build the rapport with the patient [and]… with the patient’s primary team and we just didn’t want to jeopardise that relationship… They had to be comfortable… before being videoed… They had to be comfortable with their current clinical situation… first.</w:t>
      </w:r>
    </w:p>
    <w:p>
      <w:pPr>
        <w:pStyle w:val="TextBody"/>
        <w:spacing w:lineRule="auto" w:line="360"/>
        <w:rPr>
          <w:rFonts w:eastAsia="Times New Roman" w:cs="Times New Roman"/>
        </w:rPr>
      </w:pPr>
      <w:r>
        <w:rPr>
          <w:rFonts w:ascii="FreeSans" w:hAnsi="FreeSans"/>
        </w:rPr>
        <w:t>Although Clinician One chose not to select video-clips for the reflexive sessions, the diverse depictions of palliative care enabled them to reflect on and critique their own and colleague’s practices. For example, they noticed how clinicians ‘positioned themselves’ during patient consultations – an observation that was hitherto unnoticed:</w:t>
      </w:r>
    </w:p>
    <w:p>
      <w:pPr>
        <w:pStyle w:val="TextBody"/>
        <w:spacing w:lineRule="auto" w:line="360"/>
        <w:rPr>
          <w:rFonts w:ascii="FreeSans" w:hAnsi="FreeSans"/>
        </w:rPr>
      </w:pPr>
      <w:r>
        <w:rPr>
          <w:rFonts w:ascii="FreeSans" w:hAnsi="FreeSans"/>
        </w:rPr>
        <w:t>I was… mindful of how I conduct myself… It’s always good to reflect and to try and improve… I was happy with what I saw; obviously there’s improvements.</w:t>
      </w:r>
    </w:p>
    <w:p>
      <w:pPr>
        <w:pStyle w:val="Heading2"/>
        <w:rPr/>
      </w:pPr>
      <w:r>
        <w:rPr/>
        <w:t>Clinician Two</w:t>
      </w:r>
    </w:p>
    <w:p>
      <w:pPr>
        <w:pStyle w:val="TextBody"/>
        <w:spacing w:lineRule="auto" w:line="360"/>
        <w:rPr>
          <w:rFonts w:cs="Calibri" w:cstheme="minorHAnsi"/>
        </w:rPr>
      </w:pPr>
      <w:r>
        <w:rPr>
          <w:rFonts w:ascii="FreeSans" w:hAnsi="FreeSans"/>
        </w:rPr>
        <w:t>Clinician Two was, and remained concerned about the use of VRE – largely because of the ‘V’. They conceded that ‘the whole idea of having the camera freaked me out’. It was not simply the use of a video-recorder that concerned them, but how others would interpret what it captured. Despite these concerns, Clinician Two was somewhat surprised by how often they became oblivious to the presence of a video-recorder and once cognisant of it, how reflective they had become:</w:t>
      </w:r>
    </w:p>
    <w:p>
      <w:pPr>
        <w:pStyle w:val="TextBody"/>
        <w:spacing w:lineRule="auto" w:line="360"/>
        <w:rPr>
          <w:rFonts w:ascii="FreeSans" w:hAnsi="FreeSans"/>
        </w:rPr>
      </w:pPr>
      <w:r>
        <w:rPr>
          <w:rFonts w:ascii="FreeSans" w:hAnsi="FreeSans"/>
        </w:rPr>
        <w:t>It’s something that can be watched again, and then other people will start picking things… That was always a worry… ‘What if I’m saying something bad on camera?’… But then it was very natural… because you start falling back into your habit and you don’t realise… I didn’t feel uncomfortable when I was being videoed [and] after, I would… think, ‘I wonder how that came out; did I say everything… did I miss anything?’</w:t>
      </w:r>
    </w:p>
    <w:p>
      <w:pPr>
        <w:pStyle w:val="TextBody"/>
        <w:spacing w:lineRule="auto" w:line="360"/>
        <w:rPr>
          <w:rFonts w:ascii="FreeSans" w:hAnsi="FreeSans"/>
        </w:rPr>
      </w:pPr>
      <w:r>
        <w:rPr>
          <w:rFonts w:ascii="FreeSans" w:hAnsi="FreeSans"/>
        </w:rPr>
        <w:t>Being new to palliative care, relative to their colleagues, Clinician Two was initially ‘hesitant in saying stuff’. They were guarded, reluctant to contribute to study-related discussion due to limited experience. To manage this concern, the academic researchers actively sought the views of all four clinicians, as the use of VRE was (re)moulded – nevertheless, it demonstrates how professional identities and professional hierarchies can shape this methodology:</w:t>
      </w:r>
    </w:p>
    <w:p>
      <w:pPr>
        <w:pStyle w:val="TextBody"/>
        <w:spacing w:lineRule="auto" w:line="360"/>
        <w:rPr>
          <w:rFonts w:ascii="FreeSans" w:hAnsi="FreeSans"/>
        </w:rPr>
      </w:pPr>
      <w:r>
        <w:rPr>
          <w:rFonts w:ascii="FreeSans" w:hAnsi="FreeSans"/>
        </w:rPr>
        <w:t>I do sit there and think, ‘My opinion really won’t matter because I’m only new’. But I have learnt that the team does care. They listen to my opinions and they help me realise why it may or may not be right.</w:t>
      </w:r>
    </w:p>
    <w:p>
      <w:pPr>
        <w:pStyle w:val="TextBody"/>
        <w:spacing w:lineRule="auto" w:line="360"/>
        <w:rPr>
          <w:rFonts w:cs="Calibri" w:cstheme="minorHAnsi"/>
        </w:rPr>
      </w:pPr>
      <w:r>
        <w:rPr>
          <w:rFonts w:ascii="FreeSans" w:hAnsi="FreeSans"/>
        </w:rPr>
        <w:t>Opting to select video-clips for the reflexive sessions, Clinician Two selected those that they and their colleagues could learn from. For instance, they were mindful of instances where patients and/or their family members were, and were not actively involved in, and/or directed the consultation. This is because the video-clips could be juxtaposed to demonstrate how conversations can shape the comprehensiveness of clinical assessment:</w:t>
      </w:r>
    </w:p>
    <w:p>
      <w:pPr>
        <w:pStyle w:val="TextBody"/>
        <w:spacing w:lineRule="auto" w:line="360"/>
        <w:rPr>
          <w:rFonts w:ascii="FreeSans" w:hAnsi="FreeSans"/>
        </w:rPr>
      </w:pPr>
      <w:r>
        <w:rPr>
          <w:rFonts w:ascii="FreeSans" w:hAnsi="FreeSans"/>
        </w:rPr>
        <w:t>You want to explore not just their health, but things like home and what their life is like... So… having family involvement was really important because not all patients were able to give you… that information… You need to hear it from the family perspective as well and see where they’re coming from. How involved are they? What is it that they need? I definitely was thinking, ‘This patient would be good because they are quite verbal. They are quite insightful’… I was [also] looking for faults… because that’s how we learn.</w:t>
      </w:r>
    </w:p>
    <w:p>
      <w:pPr>
        <w:pStyle w:val="TextBody"/>
        <w:spacing w:lineRule="auto" w:line="360"/>
        <w:rPr>
          <w:rFonts w:cs="Calibri" w:cstheme="minorHAnsi"/>
        </w:rPr>
      </w:pPr>
      <w:r>
        <w:rPr>
          <w:rFonts w:ascii="FreeSans" w:hAnsi="FreeSans"/>
        </w:rPr>
        <w:t>Although Clinician Two did not always speak during the reflexive sessions, they were nevertheless actively engaged. They reflected on individual practices they ‘had never picked up’ – like the way they often felt compelled to speak at patients and family members, often leaving them looking ‘overwhelmed’ with information. Yet, by making the invisible, visible, Clinician Two acknowledged they had become more deliberate in their communication style:</w:t>
      </w:r>
    </w:p>
    <w:p>
      <w:pPr>
        <w:pStyle w:val="TextBody"/>
        <w:spacing w:lineRule="auto" w:line="360"/>
        <w:rPr>
          <w:rFonts w:ascii="FreeSans" w:hAnsi="FreeSans"/>
        </w:rPr>
      </w:pPr>
      <w:r>
        <w:rPr>
          <w:rFonts w:ascii="FreeSans" w:hAnsi="FreeSans"/>
        </w:rPr>
        <w:t>I always thought giving the patients a lot of information is really helpful. I’ve always thought… ‘They should know about that. They should know about this’… Watching the video, I realised I overloaded them with so much information that they probably didn’t absorb three-quarters of it. But I thought it went really well because I… told them everything they need to know… in depth… Looking at the video, they’re looking at me totally confused… That’s something that I hadn’t thought about… Now I think… [to focus on] what’s happening today and tomorrow. [Patients and their family members]… don’t look beyond that, a lot of the time. If they do, I think they’ll be the ones that will open up that conversation.</w:t>
      </w:r>
      <w:bookmarkStart w:id="18" w:name="_GoBack"/>
      <w:bookmarkEnd w:id="18"/>
    </w:p>
    <w:p>
      <w:pPr>
        <w:pStyle w:val="TextBody"/>
        <w:spacing w:lineRule="auto" w:line="360"/>
        <w:rPr>
          <w:rFonts w:eastAsia="Times New Roman" w:cs="Calibri" w:cstheme="minorHAnsi"/>
        </w:rPr>
      </w:pPr>
      <w:r>
        <w:rPr>
          <w:rFonts w:ascii="FreeSans" w:hAnsi="FreeSans"/>
        </w:rPr>
        <w:t>Similarly, Clinician Two reflexed with their colleagues to understand social practices and the art of palliative care. They collectively fed and informed each other’s understandings of palliative care, particularly that which was deemed to be family-centred. This in turn enabled Clinician Two to be more mindful of what they did, when they did it, and why:</w:t>
      </w:r>
    </w:p>
    <w:p>
      <w:pPr>
        <w:pStyle w:val="TextBody"/>
        <w:spacing w:lineRule="auto" w:line="360"/>
        <w:rPr>
          <w:rFonts w:ascii="FreeSans" w:hAnsi="FreeSans"/>
        </w:rPr>
      </w:pPr>
      <w:r>
        <w:rPr>
          <w:rFonts w:ascii="FreeSans" w:hAnsi="FreeSans"/>
        </w:rPr>
        <w:t>During the videos, I did see things… the others didn’t bring… up… It was good for me to find out other people’s points of view… [and] what they thought… I learnt things like [the importance of] posture [and]… the way I speak… [At] times… I will be like, ‘Am I rambling again?’ Then I’ll just stop, take a breath. I was always used to standing and talking to people. Now it’s getting used to… sitting closer, at their level… allowing them to do the talking… I definitely… helped with the way we approach patients and speak to their families.</w:t>
      </w:r>
    </w:p>
    <w:p>
      <w:pPr>
        <w:pStyle w:val="TextBody"/>
        <w:spacing w:lineRule="auto" w:line="360"/>
        <w:rPr>
          <w:rFonts w:eastAsia="Times New Roman" w:cs="Calibri" w:cstheme="minorHAnsi"/>
        </w:rPr>
      </w:pPr>
      <w:r>
        <w:rPr>
          <w:rFonts w:ascii="FreeSans" w:hAnsi="FreeSans"/>
        </w:rPr>
        <w:t>However, according to Clinician Two, VRE was not without its challenges. Within an acute hospital where many patients shared a room, it was often difficult to know if and when to introduce a video-recorder. Furthermore, the hospital was in a culturally-rich area, where many patients spoke limited English and had sizeable families that also spoke little English:</w:t>
      </w:r>
    </w:p>
    <w:p>
      <w:pPr>
        <w:pStyle w:val="TextBody"/>
        <w:spacing w:lineRule="auto" w:line="360"/>
        <w:rPr>
          <w:rFonts w:ascii="FreeSans" w:hAnsi="FreeSans"/>
        </w:rPr>
      </w:pPr>
      <w:r>
        <w:rPr>
          <w:rFonts w:ascii="FreeSans" w:hAnsi="FreeSans"/>
        </w:rPr>
        <w:t>To do something at the bedside is very hard. We want to involve everyone, including family; but sometimes, there isn’t enough room… It was… ideal when we were able to be in the… meetings rooms… [But] when you’re just going for a daily bedside review… location is always hard… Obviously, language can be a barrier. If we arrived to see a patient on the day and they didn’t speak English and there was no-one there to interpret… we wouldn’t be able to explore and identify any issues they had.</w:t>
      </w:r>
    </w:p>
    <w:p>
      <w:pPr>
        <w:pStyle w:val="Heading2"/>
        <w:rPr/>
      </w:pPr>
      <w:r>
        <w:rPr/>
        <w:t>Clinician Three</w:t>
      </w:r>
    </w:p>
    <w:p>
      <w:pPr>
        <w:pStyle w:val="TextBody"/>
        <w:spacing w:lineRule="auto" w:line="360"/>
        <w:rPr>
          <w:rFonts w:cs="Calibri" w:cstheme="minorHAnsi"/>
        </w:rPr>
      </w:pPr>
      <w:r>
        <w:rPr>
          <w:rFonts w:ascii="FreeSans" w:hAnsi="FreeSans"/>
        </w:rPr>
        <w:t>Initially, Clinician Three perceived VRE ‘to be a really big waste of time’. Although they were open to this methodology, they were unconvinced about its capacity to make the invisible, visible and propel different understandings of their area of expertise – palliative care. This was partly because their previous experience with ‘research’ seldom resulted in valuable findings. Furthermore, they doubted whether patients and their family members would permit video-recording, given the sensitive and emotionally-charged nature of palliative care. However, they were surprised by the relative ease of ‘recruitment’ and the receptivity of patients and family members, alike. Although not all consented to the use of a video-recorder, they recognised the potential value of the study and the methodology:</w:t>
      </w:r>
    </w:p>
    <w:p>
      <w:pPr>
        <w:pStyle w:val="TextBody"/>
        <w:spacing w:lineRule="auto" w:line="360"/>
        <w:rPr>
          <w:rFonts w:ascii="FreeSans" w:hAnsi="FreeSans"/>
        </w:rPr>
      </w:pPr>
      <w:r>
        <w:rPr>
          <w:rFonts w:ascii="FreeSans" w:hAnsi="FreeSans"/>
        </w:rPr>
        <w:t>It was just a natural process going over [the consent process] and… communicating with the family members… So… my initial reservations of time-wasting [to]…set… the scene was null and void.</w:t>
      </w:r>
    </w:p>
    <w:p>
      <w:pPr>
        <w:pStyle w:val="TextBody"/>
        <w:spacing w:lineRule="auto" w:line="360"/>
        <w:rPr>
          <w:rFonts w:ascii="FreeSans" w:hAnsi="FreeSans"/>
        </w:rPr>
      </w:pPr>
      <w:r>
        <w:rPr>
          <w:rFonts w:ascii="FreeSans" w:hAnsi="FreeSans"/>
        </w:rPr>
        <w:t>When deciding which participants to ‘recruit’ and which video-clips to select for the reflexive sessions, Clinician Three – like Clinician Two – chose moments ‘we could learn most from in improving our practice’. For instance, patients and family members were invited to participate in the study if the consultation was likely to epitomise ‘family or person-centred practice’ because of an established rapport. However, the opportunity to establish a rapport and/or enlist participation was often shaped by context. Within an acute hospital that was comprised of four-bedded rooms and constrained by limited resources (including clinician time and private meeting rooms), it was not always feasible to discuss the study at length. Although Clinician Three recognised opportunities to optimise participation – like, ‘identifying patients earlier and preparing the consents’ before the study commenced – they also appreciated the ways in which context shaped how VRE was (re)moulded.</w:t>
      </w:r>
    </w:p>
    <w:p>
      <w:pPr>
        <w:pStyle w:val="TextBody"/>
        <w:spacing w:lineRule="auto" w:line="360"/>
        <w:rPr>
          <w:rFonts w:ascii="FreeSans" w:hAnsi="FreeSans"/>
        </w:rPr>
      </w:pPr>
      <w:r>
        <w:rPr>
          <w:rFonts w:ascii="FreeSans" w:hAnsi="FreeSans"/>
        </w:rPr>
        <w:t>Similarly, Clinician Three selected video-clips if they captured typical (rather than atypical) demonstrations of an established rapport and/or affable interactions. They depicted patients and/or family members who were communicative, inquisitive, and/or obliging.</w:t>
      </w:r>
    </w:p>
    <w:p>
      <w:pPr>
        <w:pStyle w:val="TextBody"/>
        <w:spacing w:lineRule="auto" w:line="360"/>
        <w:rPr>
          <w:rFonts w:ascii="FreeSans" w:hAnsi="FreeSans"/>
        </w:rPr>
      </w:pPr>
      <w:r>
        <w:rPr>
          <w:rFonts w:ascii="FreeSans" w:hAnsi="FreeSans"/>
        </w:rPr>
        <w:t>However, upon reflection, Clinician Three recognised the assumptions they held of how ‘family or person-centred practice’ manifested. They assumed it primarily emerged during warm and positive exchanges, thereby overlooking how it might emerge during interactions that were (in)tense, awkward, or negative:</w:t>
      </w:r>
    </w:p>
    <w:p>
      <w:pPr>
        <w:pStyle w:val="TextBody"/>
        <w:spacing w:lineRule="auto" w:line="360"/>
        <w:rPr>
          <w:rFonts w:ascii="FreeSans" w:hAnsi="FreeSans"/>
        </w:rPr>
      </w:pPr>
      <w:r>
        <w:rPr>
          <w:rFonts w:ascii="FreeSans" w:hAnsi="FreeSans"/>
        </w:rPr>
        <w:t>The ones I chose were the ones that were most open and honest… They were cooperative, open… [and] generally on board with what was happening… They [understood]… what was going on with them in that… we were looking at the last weeks… if not days of life… They were… accepting… There was one [situation where]… the family [members] were very angry, in denial…  In hindsight… this could’ve been a good one to actually record for getting our interaction with the family and getting them on board… In hindsight, we shouldn’t have said no [to their recruitment].</w:t>
      </w:r>
    </w:p>
    <w:p>
      <w:pPr>
        <w:pStyle w:val="TextBody"/>
        <w:spacing w:lineRule="auto" w:line="360"/>
        <w:rPr>
          <w:rFonts w:cs="Calibri" w:cstheme="minorHAnsi"/>
        </w:rPr>
      </w:pPr>
      <w:r>
        <w:rPr>
          <w:rFonts w:ascii="FreeSans" w:hAnsi="FreeSans"/>
        </w:rPr>
        <w:t>Clinician Three recognised value in the reflexive sessions. They appreciated the opportunity to take some time out of an otherwise chaotic workday to reflect and reflex with colleagues about what they did, how they did it, why they did it, and the associated effects. This was because they seldom had the opportunity to deliberate on these questions, examine their values and beliefs, and test their assumptions:</w:t>
      </w:r>
    </w:p>
    <w:p>
      <w:pPr>
        <w:pStyle w:val="TextBody"/>
        <w:spacing w:lineRule="auto" w:line="360"/>
        <w:rPr>
          <w:rFonts w:ascii="FreeSans" w:hAnsi="FreeSans"/>
        </w:rPr>
      </w:pPr>
      <w:r>
        <w:rPr>
          <w:rFonts w:ascii="FreeSans" w:hAnsi="FreeSans"/>
        </w:rPr>
        <w:t>It… gives you more insight and more clarity. You have your ideas about the team dynamics, but actually seeing the team dynamics on tape – it’s quite interesting.</w:t>
      </w:r>
    </w:p>
    <w:p>
      <w:pPr>
        <w:pStyle w:val="TextBody"/>
        <w:spacing w:lineRule="auto" w:line="360"/>
        <w:rPr>
          <w:rFonts w:cs="Calibri" w:cstheme="minorHAnsi"/>
        </w:rPr>
      </w:pPr>
      <w:r>
        <w:rPr>
          <w:rFonts w:ascii="FreeSans" w:hAnsi="FreeSans"/>
        </w:rPr>
        <w:t>However, participating in the reflexive sessions required some comfort-ability with vulnerability. For instance, it was not until the reflexive sessions that Clinician Three noticed their signature slouch. In the video-clips, they were often seen in a lounged position, slumped at the foot of a patient’s bed or resting their head backwards as they sat on a sofa. They initially thought such a pose ‘wasn’t very nice’, for it might be misconstrued as a sign of apathy or indifference. However, the reflexive sessions gave rise to a newfound appreciation for this signature slouch, as colleagues explicitly valued its calming effects:</w:t>
      </w:r>
    </w:p>
    <w:p>
      <w:pPr>
        <w:pStyle w:val="TextBody"/>
        <w:spacing w:lineRule="auto" w:line="360"/>
        <w:rPr>
          <w:rFonts w:ascii="FreeSans" w:hAnsi="FreeSans"/>
        </w:rPr>
      </w:pPr>
      <w:r>
        <w:rPr>
          <w:rFonts w:ascii="FreeSans" w:hAnsi="FreeSans"/>
        </w:rPr>
        <w:t>They like the way that I do that, because it actually calmed the situation; cause if I looked relaxed, everyone else is relaxed… It was a really good learning curve and really some good conversations come out of it… One of the things I’ve learnt… about myself is my posture… how I sit and appear… It also made me more conscious about positioning… where we are and who’s doing what… It’s… going to give me more insight and be more reflective in what’s going on around me and addressing those issues when they arise, instead of in hindsight… I feel it will… improve the team as a whole.</w:t>
      </w:r>
    </w:p>
    <w:p>
      <w:pPr>
        <w:pStyle w:val="Heading2"/>
        <w:rPr/>
      </w:pPr>
      <w:r>
        <w:rPr/>
        <w:t>Clinician Four</w:t>
      </w:r>
    </w:p>
    <w:p>
      <w:pPr>
        <w:pStyle w:val="TextBody"/>
        <w:spacing w:lineRule="auto" w:line="360"/>
        <w:rPr>
          <w:rFonts w:cs="Calibri" w:cstheme="minorHAnsi"/>
        </w:rPr>
      </w:pPr>
      <w:r>
        <w:rPr>
          <w:rFonts w:ascii="FreeSans" w:hAnsi="FreeSans"/>
        </w:rPr>
        <w:t>Like their counterparts, Clinician Four was initially concerned about VRE – notably, its practicalities and how it might disturb the delicacies of palliative care. This was particularly because of the context. In addition to the challenges of using VRE within an acute hospital, comprised of shared patient rooms, the four clinicians offered a consultation service. As such, enlisting the participation of patients and/or family members often required negotiating relationships with colleagues who represented other disciplines, like oncology, gerontology, haematology, and a host of other ‘-oligies’:</w:t>
      </w:r>
    </w:p>
    <w:p>
      <w:pPr>
        <w:pStyle w:val="TextBody"/>
        <w:spacing w:lineRule="auto" w:line="360"/>
        <w:rPr>
          <w:rFonts w:ascii="FreeSans" w:hAnsi="FreeSans"/>
        </w:rPr>
      </w:pPr>
      <w:r>
        <w:rPr>
          <w:rFonts w:ascii="FreeSans" w:hAnsi="FreeSans"/>
        </w:rPr>
        <w:t>Because we’re in the acute hospital and we’re a consult service, these patients are not under us… [So, the] challenges included… getting permission from the treating team, making sure it… didn’t affect the way we practice.</w:t>
      </w:r>
    </w:p>
    <w:p>
      <w:pPr>
        <w:pStyle w:val="TextBody"/>
        <w:spacing w:lineRule="auto" w:line="360"/>
        <w:rPr>
          <w:rFonts w:ascii="FreeSans" w:hAnsi="FreeSans"/>
        </w:rPr>
      </w:pPr>
      <w:r>
        <w:rPr>
          <w:rFonts w:ascii="FreeSans" w:hAnsi="FreeSans"/>
        </w:rPr>
        <w:t>Even when interdisciplinary relationships could be readily negotiated, not all patients were deemed to be ‘appropriate’ for the study. According to Clinician Four, deciding which patients to invite was influenced by perceptions about: their capacity to provide informed consent; their clinical trajectory; and/or the degree of insight into, and acceptance of their situation. Although these factors demonstrate the sensitives that surround palliative care research, they also reveal Clinician Four’s assumptions who should, and should not be recruited:</w:t>
      </w:r>
    </w:p>
    <w:p>
      <w:pPr>
        <w:pStyle w:val="TextBody"/>
        <w:spacing w:lineRule="auto" w:line="360"/>
        <w:rPr>
          <w:rFonts w:ascii="FreeSans" w:hAnsi="FreeSans"/>
        </w:rPr>
      </w:pPr>
      <w:r>
        <w:rPr>
          <w:rFonts w:ascii="FreeSans" w:hAnsi="FreeSans"/>
        </w:rPr>
        <w:t>If a patient was confused or delirious… they were the first patients who we said no to. Patients, especially those who are at the end-of-life, for dignity reasons, we were a lot more hesitant about, as well. We focused more on patients who were able to give consent and who were able to understand what the whole VRE is all about.</w:t>
      </w:r>
    </w:p>
    <w:p>
      <w:pPr>
        <w:pStyle w:val="TextBody"/>
        <w:spacing w:lineRule="auto" w:line="360"/>
        <w:rPr>
          <w:rFonts w:eastAsia="Times New Roman" w:cs="Calibri" w:cstheme="minorHAnsi"/>
        </w:rPr>
      </w:pPr>
      <w:r>
        <w:rPr>
          <w:rFonts w:ascii="FreeSans" w:hAnsi="FreeSans"/>
        </w:rPr>
        <w:t>Clinician Four was quite comfortable with VRE. They were seemingly oblivious to the presence of a video-recorder and ‘didn’t really take much notice of it’. Similarly, they found the reflexive sessions illuminating – they helped to make the ordinary, extraordinary, and re-sensitise the busy team to details they were otherwise unmindful of. These opportunities served to identify how individual and team practices might be improved:</w:t>
      </w:r>
    </w:p>
    <w:p>
      <w:pPr>
        <w:pStyle w:val="TextBody"/>
        <w:spacing w:lineRule="auto" w:line="360"/>
        <w:rPr>
          <w:rFonts w:ascii="FreeSans" w:hAnsi="FreeSans"/>
        </w:rPr>
      </w:pPr>
      <w:r>
        <w:rPr>
          <w:rFonts w:ascii="FreeSans" w:hAnsi="FreeSans"/>
        </w:rPr>
        <w:t>I realised how affected members of my team become in… conversations with these patients. We tend to be immune… We see a lot of grief, distress, sad situations… Seeing their facial expressions made me realise we have to do a lot better with self-care and debriefing… It’s always good to reflect on how you do things, how you say things… because you can always improve… This gives us a chance to reflect and look at how we can improve.</w:t>
      </w:r>
    </w:p>
    <w:p>
      <w:pPr>
        <w:pStyle w:val="TextBody"/>
        <w:spacing w:lineRule="auto" w:line="360"/>
        <w:rPr>
          <w:rFonts w:ascii="FreeSans" w:hAnsi="FreeSans"/>
        </w:rPr>
      </w:pPr>
      <w:r>
        <w:rPr>
          <w:rFonts w:ascii="FreeSans" w:hAnsi="FreeSans"/>
        </w:rPr>
      </w:r>
    </w:p>
    <w:p>
      <w:pPr>
        <w:pStyle w:val="Heading1"/>
        <w:rPr/>
      </w:pPr>
      <w:r>
        <w:rPr/>
        <w:t>Discussion</w:t>
      </w:r>
    </w:p>
    <w:p>
      <w:pPr>
        <w:pStyle w:val="TextBody"/>
        <w:spacing w:lineRule="auto" w:line="360"/>
        <w:rPr>
          <w:rFonts w:cs="Calibri" w:cstheme="minorHAnsi"/>
        </w:rPr>
      </w:pPr>
      <w:r>
        <w:rPr>
          <w:rFonts w:ascii="FreeSans" w:hAnsi="FreeSans"/>
        </w:rPr>
        <w:t>Collectively, the clinicians’ narratives highlight three key points. First, they demonstrate how VRE can help to visualise the invisible, unveiling practices that might have otherwise been overlooked. Second, they reveal how this participatory methodology encourages reflective and reflexive practice within a team. Third, the reflections illustrate how VRE can culminate with findings that resonate with organisational stakeholders – or those who have a stake in the area under investigation. Each point is addressed in turn.</w:t>
      </w:r>
    </w:p>
    <w:p>
      <w:pPr>
        <w:pStyle w:val="TextBody"/>
        <w:spacing w:lineRule="auto" w:line="360"/>
        <w:rPr>
          <w:rFonts w:cs="Calibri" w:cstheme="minorHAnsi"/>
        </w:rPr>
      </w:pPr>
      <w:r>
        <w:rPr>
          <w:rFonts w:ascii="FreeSans" w:hAnsi="FreeSans"/>
        </w:rPr>
        <w:t>In this study, VRE helped to reveal practices that were otherwise taken-for-granted. While they were shadowed, interviewed, or participating in a reflexive session, the clinicians recognised different, co-constructed understandings of family-centred palliative care. For instance, they became more mindful of how language, tone, silence, bodily positions, and assumptions all flavoured the ways in which family-centred palliative care was enacted.</w:t>
      </w:r>
    </w:p>
    <w:p>
      <w:pPr>
        <w:pStyle w:val="TextBody"/>
        <w:spacing w:lineRule="auto" w:line="360"/>
        <w:rPr/>
      </w:pPr>
      <w:r>
        <w:rPr>
          <w:rFonts w:ascii="FreeSans" w:hAnsi="FreeSans"/>
        </w:rPr>
        <w:t xml:space="preserve">VRE also encouraged reflectivity and reflexivity. The clinicians watched and deliberated on themselves and their colleagues, as individuals and as a collective. They became more aware of the shifting roles they played – explicitly and implicitly – and how these roles (and how they manifested) was shaped by context. In effect, they became clinalysts </w:t>
      </w:r>
      <w:r>
        <w:fldChar w:fldCharType="begin"/>
      </w:r>
      <w:r>
        <w:rPr/>
        <w:instrText>ADDIN EN.CITE &lt;EndNote&gt;&lt;Cite&gt;&lt;Author&gt;Iedema&lt;/Author&gt;&lt;Year&gt;2011&lt;/Year&gt;&lt;RecNum&gt;14335&lt;/RecNum&gt;&lt;DisplayText&gt;(Iedema and Carroll 2011)&lt;/DisplayText&gt;&lt;record&gt;&lt;rec-number&gt;14335&lt;/rec-number&gt;&lt;foreign-keys&gt;&lt;key app="EN" db-id="tvawz2wwrwafv7e50wg5wxed5rpvxvp00eds" timestamp="1501842038"&gt;14335&lt;/key&gt;&lt;/foreign-keys&gt;&lt;ref-type name="Journal Article"&gt;17&lt;/ref-type&gt;&lt;contributors&gt;&lt;authors&gt;&lt;author&gt;Iedema, R.,&lt;/author&gt;&lt;author&gt;Carroll, K.,&lt;/author&gt;&lt;/authors&gt;&lt;/contributors&gt;&lt;titles&gt;&lt;title&gt;The &amp;quot;clinalyst&amp;quot;: Institutionalizing reflexive space to realize safety and flexible systematization in health care&lt;/title&gt;&lt;secondary-title&gt;Journal of Organizational Change Management&lt;/secondary-title&gt;&lt;/titles&gt;&lt;periodical&gt;&lt;full-title&gt;Journal of Organizational Change Management&lt;/full-title&gt;&lt;/periodical&gt;&lt;pages&gt;175-190&lt;/pages&gt;&lt;volume&gt;24&lt;/volume&gt;&lt;number&gt;2&lt;/number&gt;&lt;keywords&gt;&lt;keyword&gt;Knowledge transfer&lt;/keyword&gt;&lt;keyword&gt;Practice development framework&lt;/keyword&gt;&lt;keyword&gt;Theory&lt;/keyword&gt;&lt;keyword&gt;Translation&lt;/keyword&gt;&lt;/keywords&gt;&lt;dates&gt;&lt;year&gt;2011&lt;/year&gt;&lt;/dates&gt;&lt;urls&gt;&lt;/urls&gt;&lt;research-notes&gt;http://www.emeraldinsight.com.ezproxy.uws.edu.au/doi/pdfplus/10.1108/09534811111119753&lt;/research-notes&gt;&lt;/record&gt;&lt;/Cite&gt;&lt;/EndNote&gt;</w:instrText>
      </w:r>
      <w:r>
        <w:rPr/>
        <w:fldChar w:fldCharType="separate"/>
      </w:r>
      <w:bookmarkStart w:id="19" w:name="__Fieldmark__18266_2090204579"/>
      <w:r>
        <w:rPr/>
      </w:r>
      <w:r>
        <w:rPr>
          <w:rFonts w:ascii="FreeSans" w:hAnsi="FreeSans"/>
        </w:rPr>
        <w:t>(</w:t>
      </w:r>
      <w:bookmarkStart w:id="20" w:name="__Fieldmark__16359_2090204579"/>
      <w:r>
        <w:rPr>
          <w:rFonts w:ascii="FreeSans" w:hAnsi="FreeSans"/>
        </w:rPr>
        <w:t>Iedema and Carroll 2011)</w:t>
      </w:r>
      <w:r>
        <w:rPr/>
      </w:r>
      <w:r>
        <w:rPr/>
        <w:fldChar w:fldCharType="end"/>
      </w:r>
      <w:bookmarkEnd w:id="19"/>
      <w:bookmarkEnd w:id="20"/>
      <w:r>
        <w:rPr>
          <w:rFonts w:ascii="FreeSans" w:hAnsi="FreeSans"/>
        </w:rPr>
        <w:t>. They discussed and interpreted their own and others’ practices while applying their knowledge of palliative care within the context of their complex health service. This is not to suggest the clinicians had not previously engaged in reflectivity and reflexivity – nor does it imply that VRE necessarily caused different understandings. But rather, VRE – as used in this study – opened windows for critical and respectful dialogue. Furthermore, and more importantly, the clinicians themselves recognised these different understandings. It seems that something quite magical can occur when local (rather than external) experts convene to watch and respectfully critique practices they had become accustomed, if not oblivious to.</w:t>
      </w:r>
    </w:p>
    <w:p>
      <w:pPr>
        <w:pStyle w:val="TextBody"/>
        <w:spacing w:lineRule="auto" w:line="360"/>
        <w:rPr/>
      </w:pPr>
      <w:r>
        <w:rPr>
          <w:rFonts w:ascii="FreeSans" w:hAnsi="FreeSans"/>
        </w:rPr>
        <w:t xml:space="preserve">Given its participatory ethos, VRE can culminate with findings that are likely to have greater relevance, meaning, and (local) impact </w:t>
      </w:r>
      <w:r>
        <w:fldChar w:fldCharType="begin"/>
      </w:r>
      <w:r>
        <w:rPr/>
        <w:instrText>ADDIN EN.CITE &lt;EndNote&gt;&lt;Cite&gt;&lt;Author&gt;Carroll&lt;/Author&gt;&lt;Year&gt;2018&lt;/Year&gt;&lt;RecNum&gt;14889&lt;/RecNum&gt;&lt;DisplayText&gt;(Carroll and Mesman 2018)&lt;/DisplayText&gt;&lt;record&gt;&lt;rec-number&gt;14889&lt;/rec-number&gt;&lt;foreign-keys&gt;&lt;key app="EN" db-id="tvawz2wwrwafv7e50wg5wxed5rpvxvp00eds" timestamp="1519628583"&gt;14889&lt;/key&gt;&lt;/foreign-keys&gt;&lt;ref-type name="Journal Article"&gt;17&lt;/ref-type&gt;&lt;contributors&gt;&lt;authors&gt;&lt;author&gt;Carroll, K.&lt;/author&gt;&lt;author&gt;Mesman, J.,&lt;/author&gt;&lt;/authors&gt;&lt;/contributors&gt;&lt;titles&gt;&lt;title&gt;Multiple researcher roles in video-reflexive ethnography &lt;/title&gt;&lt;secondary-title&gt;Qualitative Health Research&lt;/secondary-title&gt;&lt;/titles&gt;&lt;periodical&gt;&lt;full-title&gt;Qualitative Health Research&lt;/full-title&gt;&lt;/periodical&gt;&lt;pages&gt;1-12&lt;/pages&gt;&lt;volume&gt;Epub-ahead-of-print&lt;/volume&gt;&lt;dates&gt;&lt;year&gt;2018&lt;/year&gt;&lt;/dates&gt;&lt;urls&gt;&lt;/urls&gt;&lt;research-notes&gt;http://journals.sagepub.com/doi/full/10.1177/1049732318759490&lt;/research-notes&gt;&lt;/record&gt;&lt;/Cite&gt;&lt;/EndNote&gt;</w:instrText>
      </w:r>
      <w:r>
        <w:rPr/>
        <w:fldChar w:fldCharType="separate"/>
      </w:r>
      <w:bookmarkStart w:id="21" w:name="__Fieldmark__18275_2090204579"/>
      <w:r>
        <w:rPr/>
      </w:r>
      <w:r>
        <w:rPr>
          <w:rFonts w:ascii="FreeSans" w:hAnsi="FreeSans"/>
        </w:rPr>
        <w:t>(</w:t>
      </w:r>
      <w:bookmarkStart w:id="22" w:name="__Fieldmark__16393_2090204579"/>
      <w:r>
        <w:rPr>
          <w:rFonts w:ascii="FreeSans" w:hAnsi="FreeSans"/>
        </w:rPr>
        <w:t>Carroll and Mesman 2018)</w:t>
      </w:r>
      <w:r>
        <w:rPr/>
      </w:r>
      <w:r>
        <w:rPr/>
        <w:fldChar w:fldCharType="end"/>
      </w:r>
      <w:bookmarkEnd w:id="21"/>
      <w:bookmarkEnd w:id="22"/>
      <w:r>
        <w:rPr>
          <w:rFonts w:ascii="FreeSans" w:hAnsi="FreeSans"/>
        </w:rPr>
        <w:t>. Although the clinicians had reservations about VRE – notably, its practicalities and potential impact on workload – these were dispelled when the malleability of VRE became apparent, thereby encouraging their involvement. This was pivotal because the clinicians’ expertise was essential to address the overarching aim of the study.</w:t>
      </w:r>
    </w:p>
    <w:p>
      <w:pPr>
        <w:pStyle w:val="TextBody"/>
        <w:spacing w:lineRule="auto" w:line="360"/>
        <w:rPr>
          <w:rFonts w:eastAsia="Georgia"/>
          <w:szCs w:val="20"/>
        </w:rPr>
      </w:pPr>
      <w:r>
        <w:rPr>
          <w:rFonts w:ascii="FreeSans" w:hAnsi="FreeSans"/>
        </w:rPr>
        <w:t>VRE can make the invisible, visible, respectfully encouraging organisational stakeholders to reflect and reflex, as they deem appropriate. It can highlight individual, social, and organisational strengths, as well as areas that warrant greater attention. Furthermore, despite its challenges, it can be used within sensitive, emotionally-charged, dynamic contexts – including an acute hospital that delivers palliative care to patients and their family members, sometimes within shared patient rooms. These lessons have implications for scholars, practitioners, and policymakers. For scholars, they affirm the potential of participatory methodologies, like VRE, that can strengthen the usefulness of research findings. Yet the article also reveals a need to ensure a shared understanding of the participatory ethos. For practitioners and policymakers, the lessons presented in this article suggest that VRE is a helpful way to encourage regular reflectivity and reflexivity among clinicians. Despite resource constraints, it is methodology that can be readily adapted for different contexts to afford clinicians the opportunity to (re)view their own and colleagues’ practices in a supportive way.</w:t>
      </w:r>
    </w:p>
    <w:p>
      <w:pPr>
        <w:pStyle w:val="Heading2"/>
        <w:rPr>
          <w:rFonts w:eastAsia="游ゴシック Light" w:cs="Calibri" w:cstheme="minorHAnsi" w:eastAsiaTheme="majorEastAsia"/>
          <w:b/>
          <w:b/>
          <w:szCs w:val="32"/>
        </w:rPr>
      </w:pPr>
      <w:r>
        <w:rPr>
          <w:rFonts w:eastAsia="游ゴシック Light" w:cs="Calibri" w:cstheme="minorHAnsi" w:eastAsiaTheme="majorEastAsia"/>
          <w:b/>
          <w:szCs w:val="32"/>
        </w:rPr>
      </w:r>
      <w:r>
        <w:br w:type="page"/>
      </w:r>
    </w:p>
    <w:p>
      <w:pPr>
        <w:pStyle w:val="Heading1"/>
        <w:rPr>
          <w:rFonts w:cs="Calibri" w:cstheme="minorHAnsi"/>
        </w:rPr>
      </w:pPr>
      <w:r>
        <w:rPr/>
        <w:t>References</w:t>
      </w:r>
    </w:p>
    <w:p>
      <w:pPr>
        <w:pStyle w:val="TextBody"/>
        <w:spacing w:lineRule="auto" w:line="360" w:before="0" w:after="0"/>
        <w:rPr/>
      </w:pPr>
      <w:r>
        <w:fldChar w:fldCharType="begin"/>
      </w:r>
      <w:r>
        <w:rPr/>
        <w:instrText>ADDIN EN.REFLIST</w:instrText>
      </w:r>
      <w:r>
        <w:rPr/>
        <w:fldChar w:fldCharType="separate"/>
      </w:r>
      <w:bookmarkStart w:id="23" w:name="__Fieldmark__18285_2090204579"/>
      <w:r>
        <w:rPr/>
      </w:r>
      <w:r>
        <w:rPr>
          <w:rFonts w:ascii="FreeSans" w:hAnsi="FreeSans"/>
        </w:rPr>
        <w:t>Carroll, K. and J. Mesman (2018). "Multiple researcher roles in video-reflexive ethnography " Qualitative Health Research Epub-ahead-of-print: 1-12.</w:t>
      </w:r>
      <w:r>
        <w:rPr>
          <w:rFonts w:ascii="FreeSans" w:hAnsi="FreeSans"/>
        </w:rPr>
      </w:r>
      <w:r>
        <w:rPr>
          <w:rFonts w:ascii="FreeSans" w:hAnsi="FreeSans"/>
        </w:rPr>
        <w:fldChar w:fldCharType="end"/>
      </w:r>
      <w:bookmarkEnd w:id="23"/>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bookmarkStart w:id="24" w:name="__Fieldmark__16462_2090204579"/>
      <w:bookmarkEnd w:id="24"/>
      <w:r>
        <w:rPr>
          <w:rFonts w:ascii="FreeSans" w:hAnsi="FreeSans"/>
        </w:rPr>
        <w:t>Dunst, C. J., C. M. Trivette and D. M. Snyder (2000). Family-professional partnerships: A behavioral science perspective. Collaboration with parents and families of children and youth with exceptionalities. M. J. Fine and R. L. Simpson. Austin, TX, Pro Ed: 27-48.</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Iedema, R. and K. Carroll (2011). "The "clinalyst": Institutionalizing reflexive space to realize safety and flexible systematization in health care." Journal of Organizational Change Management 24(2): 175-190.</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Iedema, R., K. Carroll, A. Collier, S. Hor, J. Mesman and M. Wyer (2018). Video reflexive ethnography in health research and healthcare improvement. Milton Park, Taylor &amp; Francis.</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rFonts w:ascii="FreeSans" w:hAnsi="FreeSans"/>
        </w:rPr>
      </w:pPr>
      <w:r>
        <w:rPr>
          <w:rFonts w:ascii="FreeSans" w:hAnsi="FreeSans"/>
        </w:rPr>
        <w:t>Mitschke, D. B. (2008). "Cancer in the family: Review of the psychosocial perspectives of patients and family members." Journal of Family Social Work 11(2): 166-184.</w:t>
      </w:r>
    </w:p>
    <w:p>
      <w:pPr>
        <w:pStyle w:val="TextBody"/>
        <w:spacing w:lineRule="auto" w:line="360" w:before="0" w:after="0"/>
        <w:rPr>
          <w:rFonts w:ascii="FreeSans" w:hAnsi="FreeSans"/>
        </w:rPr>
      </w:pPr>
      <w:r>
        <w:rPr>
          <w:rFonts w:ascii="FreeSans" w:hAnsi="FreeSans"/>
        </w:rPr>
      </w:r>
    </w:p>
    <w:p>
      <w:pPr>
        <w:pStyle w:val="TextBody"/>
        <w:spacing w:lineRule="auto" w:line="360" w:before="0" w:after="0"/>
        <w:rPr/>
      </w:pPr>
      <w:r>
        <w:rPr>
          <w:rFonts w:ascii="FreeSans" w:hAnsi="FreeSans"/>
        </w:rPr>
        <w:t xml:space="preserve">WHO (World Health Organization). (2015). "Palliative care: Fact sheet N°402."   Retrieved 22nd Mar., 2016, from </w:t>
      </w:r>
      <w:hyperlink r:id="rId2">
        <w:r>
          <w:rPr>
            <w:rStyle w:val="InternetLink"/>
            <w:rFonts w:ascii="FreeSans" w:hAnsi="FreeSans"/>
          </w:rPr>
          <w:t>http://www.who.int/mediacentre/factsheets/fs402/en/</w:t>
        </w:r>
      </w:hyperlink>
      <w:r>
        <w:rPr>
          <w:rFonts w:ascii="FreeSans" w:hAnsi="FreeSans"/>
        </w:rPr>
        <w:t>.</w:t>
      </w:r>
    </w:p>
    <w:p>
      <w:pPr>
        <w:pStyle w:val="TextBody"/>
        <w:spacing w:lineRule="auto" w:line="360" w:before="0" w:after="0"/>
        <w:rPr/>
      </w:pPr>
      <w:r>
        <w:rPr/>
      </w:r>
    </w:p>
    <w:sectPr>
      <w:footerReference w:type="default" r:id="rId3"/>
      <w:type w:val="nextPage"/>
      <w:pgSz w:w="11906" w:h="16838"/>
      <w:pgMar w:left="1440" w:right="1440" w:header="0"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FreeSans">
    <w:charset w:val="01"/>
    <w:family w:val="roman"/>
    <w:pitch w:val="variable"/>
  </w:font>
  <w:font w:name="Georgia">
    <w:charset w:val="01"/>
    <w:family w:val="roman"/>
    <w:pitch w:val="variable"/>
  </w:font>
  <w:font w:name="Segoe UI">
    <w:charset w:val="01"/>
    <w:family w:val="roman"/>
    <w:pitch w:val="variable"/>
  </w:font>
  <w:font w:name="Liberation Sans">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369782859"/>
    </w:sdtPr>
    <w:sdtContent>
      <w:p>
        <w:pPr>
          <w:pStyle w:val="Footer"/>
          <w:spacing w:before="0" w:after="120"/>
          <w:jc w:val="center"/>
          <w:rPr/>
        </w:pPr>
        <w:r>
          <w:rPr/>
          <w:t xml:space="preserve">Page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13</w:t>
        </w:r>
        <w:r>
          <w:rPr>
            <w:sz w:val="24"/>
            <w:b/>
            <w:szCs w:val="24"/>
            <w:bCs/>
          </w:rPr>
          <w:fldChar w:fldCharType="end"/>
        </w:r>
        <w:r>
          <w:rPr/>
          <w:t xml:space="preserve"> of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13</w:t>
        </w:r>
        <w:r>
          <w:rPr>
            <w:sz w:val="24"/>
            <w:b/>
            <w:szCs w:val="24"/>
            <w:bCs/>
          </w:rPr>
          <w:fldChar w:fldCharType="end"/>
        </w:r>
      </w:p>
    </w:sdtContent>
  </w:sdt>
</w:ftr>
</file>

<file path=word/settings.xml><?xml version="1.0" encoding="utf-8"?>
<w:settings xmlns:w="http://schemas.openxmlformats.org/wordprocessingml/2006/main">
  <w:zoom w:percent="81"/>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AU"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AU"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ef3e44"/>
    <w:pPr>
      <w:widowControl/>
      <w:bidi w:val="0"/>
      <w:spacing w:lineRule="auto" w:line="360" w:before="0" w:after="120"/>
      <w:jc w:val="both"/>
    </w:pPr>
    <w:rPr>
      <w:rFonts w:ascii="Times New Roman" w:hAnsi="Times New Roman" w:eastAsia="Calibri" w:cs="" w:cstheme="minorBidi" w:eastAsiaTheme="minorHAnsi"/>
      <w:color w:val="auto"/>
      <w:kern w:val="0"/>
      <w:sz w:val="24"/>
      <w:szCs w:val="22"/>
      <w:lang w:val="en-AU" w:eastAsia="en-US" w:bidi="ar-SA"/>
    </w:rPr>
  </w:style>
  <w:style w:type="paragraph" w:styleId="Heading1">
    <w:name w:val="Heading 1"/>
    <w:basedOn w:val="Normal"/>
    <w:next w:val="Normal"/>
    <w:link w:val="Heading1Char"/>
    <w:uiPriority w:val="9"/>
    <w:qFormat/>
    <w:rsid w:val="006128ff"/>
    <w:pPr>
      <w:keepNext w:val="true"/>
      <w:keepLines/>
      <w:outlineLvl w:val="0"/>
    </w:pPr>
    <w:rPr>
      <w:rFonts w:ascii="FreeSans" w:hAnsi="FreeSans" w:eastAsia="游ゴシック Light" w:cs="" w:cstheme="majorBidi" w:eastAsiaTheme="majorEastAsia"/>
      <w:b/>
      <w:bCs/>
      <w:sz w:val="36"/>
      <w:szCs w:val="36"/>
    </w:rPr>
  </w:style>
  <w:style w:type="paragraph" w:styleId="Heading2">
    <w:name w:val="Heading 2"/>
    <w:basedOn w:val="Normal"/>
    <w:next w:val="Normal"/>
    <w:link w:val="Heading2Char"/>
    <w:uiPriority w:val="9"/>
    <w:unhideWhenUsed/>
    <w:qFormat/>
    <w:rsid w:val="006128ff"/>
    <w:pPr>
      <w:keepNext w:val="true"/>
      <w:keepLines/>
      <w:spacing w:lineRule="auto" w:line="360"/>
      <w:outlineLvl w:val="1"/>
    </w:pPr>
    <w:rPr>
      <w:rFonts w:ascii="FreeSans" w:hAnsi="FreeSans" w:eastAsia="游ゴシック Light" w:cs="" w:cstheme="majorBidi" w:eastAsiaTheme="majorEastAsia"/>
      <w:b/>
      <w:bCs/>
      <w:i w:val="false"/>
      <w:iCs w:val="false"/>
      <w:sz w:val="32"/>
      <w:szCs w:val="32"/>
    </w:rPr>
  </w:style>
  <w:style w:type="paragraph" w:styleId="Heading3">
    <w:name w:val="Heading 3"/>
    <w:basedOn w:val="Normal"/>
    <w:next w:val="Normal"/>
    <w:link w:val="Heading3Char"/>
    <w:uiPriority w:val="9"/>
    <w:unhideWhenUsed/>
    <w:qFormat/>
    <w:rsid w:val="006128ff"/>
    <w:pPr>
      <w:keepNext w:val="true"/>
      <w:keepLines/>
      <w:outlineLvl w:val="2"/>
    </w:pPr>
    <w:rPr>
      <w:rFonts w:eastAsia="游ゴシック Light" w:cs="" w:cstheme="majorBidi" w:eastAsiaTheme="majorEastAsia"/>
      <w:i/>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6128ff"/>
    <w:rPr>
      <w:rFonts w:ascii="Georgia" w:hAnsi="Georgia" w:eastAsia="游ゴシック Light" w:cs="" w:cstheme="majorBidi" w:eastAsiaTheme="majorEastAsia"/>
      <w:b/>
      <w:sz w:val="24"/>
      <w:szCs w:val="32"/>
    </w:rPr>
  </w:style>
  <w:style w:type="character" w:styleId="Heading2Char" w:customStyle="1">
    <w:name w:val="Heading 2 Char"/>
    <w:basedOn w:val="DefaultParagraphFont"/>
    <w:link w:val="Heading2"/>
    <w:uiPriority w:val="9"/>
    <w:qFormat/>
    <w:rsid w:val="006128ff"/>
    <w:rPr>
      <w:rFonts w:ascii="Georgia" w:hAnsi="Georgia" w:eastAsia="游ゴシック Light" w:cs="" w:cstheme="majorBidi" w:eastAsiaTheme="majorEastAsia"/>
      <w:b/>
      <w:i/>
      <w:sz w:val="20"/>
      <w:szCs w:val="26"/>
    </w:rPr>
  </w:style>
  <w:style w:type="character" w:styleId="TitleChar" w:customStyle="1">
    <w:name w:val="Title Char"/>
    <w:basedOn w:val="DefaultParagraphFont"/>
    <w:link w:val="Title"/>
    <w:uiPriority w:val="10"/>
    <w:qFormat/>
    <w:rsid w:val="006128ff"/>
    <w:rPr>
      <w:rFonts w:ascii="Georgia" w:hAnsi="Georgia" w:eastAsia="游ゴシック Light" w:cs="" w:cstheme="majorBidi" w:eastAsiaTheme="majorEastAsia"/>
      <w:b/>
      <w:spacing w:val="-10"/>
      <w:kern w:val="2"/>
      <w:sz w:val="24"/>
      <w:szCs w:val="56"/>
    </w:rPr>
  </w:style>
  <w:style w:type="character" w:styleId="FooterChar" w:customStyle="1">
    <w:name w:val="Footer Char"/>
    <w:basedOn w:val="DefaultParagraphFont"/>
    <w:link w:val="Footer"/>
    <w:uiPriority w:val="99"/>
    <w:qFormat/>
    <w:rsid w:val="0056447f"/>
    <w:rPr>
      <w:rFonts w:ascii="Georgia" w:hAnsi="Georgia"/>
      <w:sz w:val="16"/>
    </w:rPr>
  </w:style>
  <w:style w:type="character" w:styleId="HeaderChar" w:customStyle="1">
    <w:name w:val="Header Char"/>
    <w:basedOn w:val="DefaultParagraphFont"/>
    <w:link w:val="Header"/>
    <w:uiPriority w:val="99"/>
    <w:qFormat/>
    <w:rsid w:val="0056447f"/>
    <w:rPr>
      <w:rFonts w:ascii="Georgia" w:hAnsi="Georgia"/>
      <w:sz w:val="16"/>
    </w:rPr>
  </w:style>
  <w:style w:type="character" w:styleId="SubtitleChar" w:customStyle="1">
    <w:name w:val="Subtitle Char"/>
    <w:basedOn w:val="DefaultParagraphFont"/>
    <w:link w:val="Subtitle"/>
    <w:uiPriority w:val="11"/>
    <w:qFormat/>
    <w:rsid w:val="00377db4"/>
    <w:rPr>
      <w:rFonts w:ascii="Georgia" w:hAnsi="Georgia" w:eastAsia="游明朝" w:eastAsiaTheme="minorEastAsia"/>
      <w:color w:val="780000"/>
      <w:spacing w:val="15"/>
      <w:sz w:val="24"/>
    </w:rPr>
  </w:style>
  <w:style w:type="character" w:styleId="Heading3Char" w:customStyle="1">
    <w:name w:val="Heading 3 Char"/>
    <w:basedOn w:val="DefaultParagraphFont"/>
    <w:link w:val="Heading3"/>
    <w:uiPriority w:val="9"/>
    <w:qFormat/>
    <w:rsid w:val="006128ff"/>
    <w:rPr>
      <w:rFonts w:ascii="Georgia" w:hAnsi="Georgia" w:eastAsia="游ゴシック Light" w:cs="" w:cstheme="majorBidi" w:eastAsiaTheme="majorEastAsia"/>
      <w:i/>
      <w:sz w:val="20"/>
      <w:szCs w:val="24"/>
    </w:rPr>
  </w:style>
  <w:style w:type="character" w:styleId="EndNoteBibliographyTitleChar" w:customStyle="1">
    <w:name w:val="EndNote Bibliography Title Char"/>
    <w:basedOn w:val="DefaultParagraphFont"/>
    <w:link w:val="EndNoteBibliographyTitle"/>
    <w:qFormat/>
    <w:rsid w:val="00640b60"/>
    <w:rPr>
      <w:rFonts w:ascii="Times New Roman" w:hAnsi="Times New Roman" w:cs="Times New Roman"/>
      <w:sz w:val="24"/>
      <w:lang w:val="en-US"/>
    </w:rPr>
  </w:style>
  <w:style w:type="character" w:styleId="EndNoteBibliographyChar" w:customStyle="1">
    <w:name w:val="EndNote Bibliography Char"/>
    <w:basedOn w:val="DefaultParagraphFont"/>
    <w:link w:val="EndNoteBibliography"/>
    <w:qFormat/>
    <w:rsid w:val="00640b60"/>
    <w:rPr>
      <w:rFonts w:ascii="Times New Roman" w:hAnsi="Times New Roman" w:cs="Times New Roman"/>
      <w:sz w:val="24"/>
      <w:lang w:val="en-US"/>
    </w:rPr>
  </w:style>
  <w:style w:type="character" w:styleId="InternetLink">
    <w:name w:val="Internet Link"/>
    <w:basedOn w:val="DefaultParagraphFont"/>
    <w:uiPriority w:val="99"/>
    <w:unhideWhenUsed/>
    <w:rsid w:val="00c8258a"/>
    <w:rPr>
      <w:color w:val="0563C1" w:themeColor="hyperlink"/>
      <w:u w:val="single"/>
    </w:rPr>
  </w:style>
  <w:style w:type="character" w:styleId="UnresolvedMention1" w:customStyle="1">
    <w:name w:val="Unresolved Mention1"/>
    <w:basedOn w:val="DefaultParagraphFont"/>
    <w:uiPriority w:val="99"/>
    <w:semiHidden/>
    <w:unhideWhenUsed/>
    <w:qFormat/>
    <w:rsid w:val="00c27cba"/>
    <w:rPr>
      <w:color w:val="808080"/>
      <w:shd w:fill="E6E6E6" w:val="clear"/>
    </w:rPr>
  </w:style>
  <w:style w:type="character" w:styleId="Annotationreference">
    <w:name w:val="annotation reference"/>
    <w:basedOn w:val="DefaultParagraphFont"/>
    <w:uiPriority w:val="99"/>
    <w:semiHidden/>
    <w:unhideWhenUsed/>
    <w:qFormat/>
    <w:rsid w:val="008c079e"/>
    <w:rPr>
      <w:sz w:val="16"/>
      <w:szCs w:val="16"/>
    </w:rPr>
  </w:style>
  <w:style w:type="character" w:styleId="CommentTextChar" w:customStyle="1">
    <w:name w:val="Comment Text Char"/>
    <w:basedOn w:val="DefaultParagraphFont"/>
    <w:link w:val="CommentText"/>
    <w:uiPriority w:val="99"/>
    <w:semiHidden/>
    <w:qFormat/>
    <w:rsid w:val="008c079e"/>
    <w:rPr>
      <w:rFonts w:ascii="Georgia" w:hAnsi="Georgia"/>
      <w:sz w:val="20"/>
      <w:szCs w:val="20"/>
    </w:rPr>
  </w:style>
  <w:style w:type="character" w:styleId="CommentSubjectChar" w:customStyle="1">
    <w:name w:val="Comment Subject Char"/>
    <w:basedOn w:val="CommentTextChar"/>
    <w:link w:val="CommentSubject"/>
    <w:uiPriority w:val="99"/>
    <w:semiHidden/>
    <w:qFormat/>
    <w:rsid w:val="008c079e"/>
    <w:rPr>
      <w:rFonts w:ascii="Georgia" w:hAnsi="Georgia"/>
      <w:b/>
      <w:bCs/>
      <w:sz w:val="20"/>
      <w:szCs w:val="20"/>
    </w:rPr>
  </w:style>
  <w:style w:type="character" w:styleId="BalloonTextChar" w:customStyle="1">
    <w:name w:val="Balloon Text Char"/>
    <w:basedOn w:val="DefaultParagraphFont"/>
    <w:link w:val="BalloonText"/>
    <w:uiPriority w:val="99"/>
    <w:semiHidden/>
    <w:qFormat/>
    <w:rsid w:val="008c079e"/>
    <w:rPr>
      <w:rFonts w:ascii="Segoe UI" w:hAnsi="Segoe UI" w:cs="Segoe UI"/>
      <w:sz w:val="18"/>
      <w:szCs w:val="18"/>
    </w:rPr>
  </w:style>
  <w:style w:type="character" w:styleId="ListParagraphChar" w:customStyle="1">
    <w:name w:val="List Paragraph Char"/>
    <w:basedOn w:val="DefaultParagraphFont"/>
    <w:link w:val="ListParagraph"/>
    <w:uiPriority w:val="34"/>
    <w:qFormat/>
    <w:rsid w:val="009438e2"/>
    <w:rPr>
      <w:rFonts w:ascii="Times New Roman" w:hAnsi="Times New Roman" w:eastAsia="Arial" w:cs="Arial"/>
      <w:sz w:val="24"/>
      <w:lang w:eastAsia="en-AU"/>
    </w:rPr>
  </w:style>
  <w:style w:type="character" w:styleId="UnresolvedMention2" w:customStyle="1">
    <w:name w:val="Unresolved Mention2"/>
    <w:basedOn w:val="DefaultParagraphFont"/>
    <w:uiPriority w:val="99"/>
    <w:semiHidden/>
    <w:unhideWhenUsed/>
    <w:qFormat/>
    <w:rsid w:val="00c27332"/>
    <w:rPr>
      <w:color w:val="808080"/>
      <w:shd w:fill="E6E6E6" w:val="clear"/>
    </w:rPr>
  </w:style>
  <w:style w:type="character" w:styleId="Emphasis">
    <w:name w:val="Emphasis"/>
    <w:basedOn w:val="DefaultParagraphFont"/>
    <w:uiPriority w:val="20"/>
    <w:qFormat/>
    <w:rsid w:val="00f960b2"/>
    <w:rPr>
      <w:i/>
      <w:iCs/>
    </w:rPr>
  </w:style>
  <w:style w:type="character" w:styleId="QuoteChar" w:customStyle="1">
    <w:name w:val="Quote Char"/>
    <w:basedOn w:val="DefaultParagraphFont"/>
    <w:link w:val="Quote"/>
    <w:uiPriority w:val="29"/>
    <w:qFormat/>
    <w:rsid w:val="00863572"/>
    <w:rPr>
      <w:i/>
      <w:iCs/>
      <w:color w:val="404040" w:themeColor="text1" w:themeTint="bf"/>
      <w:sz w:val="24"/>
      <w:szCs w:val="24"/>
    </w:rPr>
  </w:style>
  <w:style w:type="character" w:styleId="UnresolvedMention3" w:customStyle="1">
    <w:name w:val="Unresolved Mention3"/>
    <w:basedOn w:val="DefaultParagraphFont"/>
    <w:uiPriority w:val="99"/>
    <w:semiHidden/>
    <w:unhideWhenUsed/>
    <w:qFormat/>
    <w:rsid w:val="00f22c24"/>
    <w:rPr>
      <w:color w:val="605E5C"/>
      <w:shd w:fill="E1DFDD" w:val="clear"/>
    </w:rPr>
  </w:style>
  <w:style w:type="character" w:styleId="UnresolvedMention">
    <w:name w:val="Unresolved Mention"/>
    <w:basedOn w:val="DefaultParagraphFont"/>
    <w:uiPriority w:val="99"/>
    <w:semiHidden/>
    <w:unhideWhenUsed/>
    <w:qFormat/>
    <w:rsid w:val="00d4562a"/>
    <w:rPr>
      <w:color w:val="808080"/>
      <w:shd w:fill="E6E6E6" w:val="clear"/>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eastAsia="Calibri" w:cs=""/>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ascii="FreeSans" w:hAnsi="FreeSans"/>
    </w:rPr>
  </w:style>
  <w:style w:type="paragraph" w:styleId="Heading">
    <w:name w:val="Heading"/>
    <w:basedOn w:val="Normal"/>
    <w:next w:val="TextBody"/>
    <w:qFormat/>
    <w:pPr>
      <w:keepNext w:val="true"/>
      <w:spacing w:before="240" w:after="120"/>
    </w:pPr>
    <w:rPr>
      <w:rFonts w:ascii="Liberation Sans" w:hAnsi="Liberation Sans" w:eastAsia="Noto Sans CJK SC Regular"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Title">
    <w:name w:val="Title"/>
    <w:basedOn w:val="Normal"/>
    <w:next w:val="Normal"/>
    <w:link w:val="TitleChar"/>
    <w:uiPriority w:val="10"/>
    <w:qFormat/>
    <w:rsid w:val="006128ff"/>
    <w:pPr>
      <w:spacing w:lineRule="auto" w:line="240" w:before="0" w:after="120"/>
      <w:contextualSpacing/>
      <w:jc w:val="center"/>
    </w:pPr>
    <w:rPr>
      <w:rFonts w:ascii="FreeSans" w:hAnsi="FreeSans" w:eastAsia="游ゴシック Light" w:cs="" w:cstheme="majorBidi" w:eastAsiaTheme="majorEastAsia"/>
      <w:b/>
      <w:spacing w:val="-10"/>
      <w:kern w:val="2"/>
      <w:sz w:val="56"/>
      <w:szCs w:val="56"/>
    </w:rPr>
  </w:style>
  <w:style w:type="paragraph" w:styleId="BlockText">
    <w:name w:val="Block Text"/>
    <w:basedOn w:val="Normal"/>
    <w:uiPriority w:val="99"/>
    <w:unhideWhenUsed/>
    <w:qFormat/>
    <w:rsid w:val="00e45fea"/>
    <w:pPr>
      <w:spacing w:before="120" w:after="120"/>
      <w:ind w:left="1151" w:right="1151" w:hanging="0"/>
    </w:pPr>
    <w:rPr>
      <w:rFonts w:eastAsia="游明朝" w:eastAsiaTheme="minorEastAsia"/>
      <w:iCs/>
    </w:rPr>
  </w:style>
  <w:style w:type="paragraph" w:styleId="Footer">
    <w:name w:val="Footer"/>
    <w:basedOn w:val="Normal"/>
    <w:link w:val="FooterChar"/>
    <w:uiPriority w:val="99"/>
    <w:unhideWhenUsed/>
    <w:rsid w:val="0056447f"/>
    <w:pPr>
      <w:tabs>
        <w:tab w:val="center" w:pos="4513" w:leader="none"/>
        <w:tab w:val="right" w:pos="9026" w:leader="none"/>
      </w:tabs>
    </w:pPr>
    <w:rPr>
      <w:sz w:val="16"/>
    </w:rPr>
  </w:style>
  <w:style w:type="paragraph" w:styleId="Header">
    <w:name w:val="Header"/>
    <w:basedOn w:val="Normal"/>
    <w:link w:val="HeaderChar"/>
    <w:uiPriority w:val="99"/>
    <w:unhideWhenUsed/>
    <w:rsid w:val="0056447f"/>
    <w:pPr>
      <w:tabs>
        <w:tab w:val="center" w:pos="4513" w:leader="none"/>
        <w:tab w:val="right" w:pos="9026" w:leader="none"/>
      </w:tabs>
    </w:pPr>
    <w:rPr>
      <w:sz w:val="16"/>
    </w:rPr>
  </w:style>
  <w:style w:type="paragraph" w:styleId="Subtitle">
    <w:name w:val="Subtitle"/>
    <w:basedOn w:val="Normal"/>
    <w:next w:val="Normal"/>
    <w:link w:val="SubtitleChar"/>
    <w:uiPriority w:val="11"/>
    <w:qFormat/>
    <w:rsid w:val="00377db4"/>
    <w:pPr>
      <w:spacing w:lineRule="auto" w:line="240"/>
      <w:jc w:val="center"/>
    </w:pPr>
    <w:rPr>
      <w:rFonts w:ascii="FreeSans" w:hAnsi="FreeSans" w:eastAsia="游明朝" w:eastAsiaTheme="minorEastAsia"/>
      <w:color w:val="000000"/>
      <w:spacing w:val="15"/>
      <w:sz w:val="32"/>
      <w:szCs w:val="32"/>
    </w:rPr>
  </w:style>
  <w:style w:type="paragraph" w:styleId="ListParagraph">
    <w:name w:val="List Paragraph"/>
    <w:basedOn w:val="Normal"/>
    <w:link w:val="ListParagraphChar"/>
    <w:uiPriority w:val="34"/>
    <w:qFormat/>
    <w:rsid w:val="009438e2"/>
    <w:pPr>
      <w:spacing w:before="0" w:after="120"/>
      <w:ind w:left="720" w:hanging="0"/>
      <w:contextualSpacing/>
    </w:pPr>
    <w:rPr>
      <w:rFonts w:eastAsia="Arial" w:cs="Arial"/>
      <w:lang w:eastAsia="en-AU"/>
    </w:rPr>
  </w:style>
  <w:style w:type="paragraph" w:styleId="EndNoteBibliographyTitle" w:customStyle="1">
    <w:name w:val="EndNote Bibliography Title"/>
    <w:basedOn w:val="Normal"/>
    <w:link w:val="EndNoteBibliographyTitleChar"/>
    <w:qFormat/>
    <w:rsid w:val="00640b60"/>
    <w:pPr>
      <w:jc w:val="center"/>
    </w:pPr>
    <w:rPr>
      <w:rFonts w:cs="Times New Roman"/>
      <w:lang w:val="en-US"/>
    </w:rPr>
  </w:style>
  <w:style w:type="paragraph" w:styleId="EndNoteBibliography" w:customStyle="1">
    <w:name w:val="EndNote Bibliography"/>
    <w:basedOn w:val="Normal"/>
    <w:link w:val="EndNoteBibliographyChar"/>
    <w:qFormat/>
    <w:rsid w:val="00640b60"/>
    <w:pPr>
      <w:spacing w:lineRule="auto" w:line="240"/>
    </w:pPr>
    <w:rPr>
      <w:rFonts w:cs="Times New Roman"/>
      <w:lang w:val="en-US"/>
    </w:rPr>
  </w:style>
  <w:style w:type="paragraph" w:styleId="Annotationtext">
    <w:name w:val="annotation text"/>
    <w:basedOn w:val="Normal"/>
    <w:link w:val="CommentTextChar"/>
    <w:uiPriority w:val="99"/>
    <w:semiHidden/>
    <w:unhideWhenUsed/>
    <w:qFormat/>
    <w:rsid w:val="008c079e"/>
    <w:pPr/>
    <w:rPr>
      <w:szCs w:val="20"/>
    </w:rPr>
  </w:style>
  <w:style w:type="paragraph" w:styleId="Annotationsubject">
    <w:name w:val="annotation subject"/>
    <w:basedOn w:val="Annotationtext"/>
    <w:link w:val="CommentSubjectChar"/>
    <w:uiPriority w:val="99"/>
    <w:semiHidden/>
    <w:unhideWhenUsed/>
    <w:qFormat/>
    <w:rsid w:val="008c079e"/>
    <w:pPr/>
    <w:rPr>
      <w:b/>
      <w:bCs/>
    </w:rPr>
  </w:style>
  <w:style w:type="paragraph" w:styleId="BalloonText">
    <w:name w:val="Balloon Text"/>
    <w:basedOn w:val="Normal"/>
    <w:link w:val="BalloonTextChar"/>
    <w:uiPriority w:val="99"/>
    <w:semiHidden/>
    <w:unhideWhenUsed/>
    <w:qFormat/>
    <w:rsid w:val="008c079e"/>
    <w:pPr/>
    <w:rPr>
      <w:rFonts w:ascii="Segoe UI" w:hAnsi="Segoe UI" w:cs="Segoe UI"/>
      <w:sz w:val="18"/>
      <w:szCs w:val="18"/>
    </w:rPr>
  </w:style>
  <w:style w:type="paragraph" w:styleId="Quote">
    <w:name w:val="Quote"/>
    <w:basedOn w:val="Normal"/>
    <w:next w:val="Normal"/>
    <w:link w:val="QuoteChar"/>
    <w:uiPriority w:val="29"/>
    <w:qFormat/>
    <w:rsid w:val="00863572"/>
    <w:pPr>
      <w:spacing w:before="200" w:after="160"/>
      <w:ind w:left="864" w:right="864" w:hanging="0"/>
    </w:pPr>
    <w:rPr>
      <w:i/>
      <w:iCs/>
      <w:color w:val="404040" w:themeColor="text1" w:themeTint="bf"/>
      <w:szCs w:val="24"/>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8d03d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who.int/mediacentre/factsheets/fs402/en/" TargetMode="Externa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17829-B93B-964C-A71F-A4BB9AE5B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Application>LibreOffice/6.0.6.2$Linux_X86_64 LibreOffice_project/00m0$Build-2</Application>
  <Pages>13</Pages>
  <Words>4343</Words>
  <Characters>24613</Characters>
  <CharactersWithSpaces>28889</CharactersWithSpaces>
  <Paragraphs>74</Paragraphs>
  <Company>Anonymous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2018-10-25T02:15:00Z</dcterms:created>
  <dc:creator>Anonymous</dc:creator>
  <dc:description/>
  <dc:language>en-AU</dc:language>
  <cp:lastModifiedBy/>
  <dcterms:modified xsi:type="dcterms:W3CDTF">2018-11-27T14:27:21Z</dcterms:modified>
  <cp:revision>8</cp:revision>
  <dc:subject/>
  <dc:title>ACSPRI Conference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Anonymous</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