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spacing w:lineRule="auto" w:line="276"/>
        <w:rPr/>
      </w:pPr>
      <w:r>
        <w:rPr/>
        <w:t>Blending individual and social emotions via analytical plurality</w:t>
      </w:r>
    </w:p>
    <w:p>
      <w:pPr>
        <w:pStyle w:val="TextBody"/>
        <w:rPr>
          <w:rFonts w:ascii="FreeSans" w:hAnsi="FreeSans"/>
        </w:rPr>
      </w:pPr>
      <w:r>
        <w:rPr>
          <w:rFonts w:ascii="FreeSans" w:hAnsi="FreeSans"/>
        </w:rPr>
      </w:r>
    </w:p>
    <w:p>
      <w:pPr>
        <w:pStyle w:val="TextBody"/>
        <w:rPr>
          <w:rFonts w:ascii="FreeSans" w:hAnsi="FreeSans"/>
        </w:rPr>
      </w:pPr>
      <w:r>
        <w:rPr>
          <w:rFonts w:ascii="FreeSans" w:hAnsi="FreeSans"/>
        </w:rPr>
      </w:r>
    </w:p>
    <w:p>
      <w:pPr>
        <w:pStyle w:val="Subtitle"/>
        <w:rPr>
          <w:color w:val="000000"/>
        </w:rPr>
      </w:pPr>
      <w:r>
        <w:rPr>
          <w:b/>
          <w:bCs/>
          <w:color w:val="000000"/>
        </w:rPr>
        <w:t xml:space="preserve">Hodgins, Michael </w:t>
      </w:r>
      <w:r>
        <w:rPr>
          <w:i/>
          <w:iCs/>
          <w:color w:val="000000"/>
        </w:rPr>
        <w:t>School of Business, Western Sydney University</w:t>
      </w:r>
    </w:p>
    <w:p>
      <w:pPr>
        <w:pStyle w:val="Subtitle"/>
        <w:rPr>
          <w:color w:val="000000"/>
        </w:rPr>
      </w:pPr>
      <w:r>
        <w:rPr>
          <w:b/>
          <w:bCs/>
          <w:color w:val="000000"/>
        </w:rPr>
        <w:t>Dadich, Ann</w:t>
      </w:r>
      <w:r>
        <w:rPr>
          <w:color w:val="000000"/>
        </w:rPr>
        <w:t xml:space="preserve"> </w:t>
      </w:r>
      <w:r>
        <w:rPr>
          <w:i/>
          <w:iCs/>
          <w:color w:val="000000"/>
        </w:rPr>
        <w:t>School of Business, Western Sydney University</w:t>
      </w:r>
    </w:p>
    <w:p>
      <w:pPr>
        <w:pStyle w:val="Subtitle"/>
        <w:rPr>
          <w:color w:val="000000"/>
        </w:rPr>
      </w:pPr>
      <w:r>
        <w:rPr>
          <w:b/>
          <w:bCs/>
          <w:color w:val="000000"/>
        </w:rPr>
        <w:t>Bye, Jayne</w:t>
      </w:r>
      <w:r>
        <w:rPr>
          <w:color w:val="000000"/>
        </w:rPr>
        <w:t xml:space="preserve"> S</w:t>
      </w:r>
      <w:r>
        <w:rPr>
          <w:i/>
          <w:iCs/>
          <w:color w:val="000000"/>
        </w:rPr>
        <w:t>chool of Business, Western Sydney University</w:t>
      </w:r>
    </w:p>
    <w:p>
      <w:pPr>
        <w:pStyle w:val="TextBody"/>
        <w:spacing w:lineRule="auto" w:line="240"/>
        <w:rPr>
          <w:rFonts w:ascii="FreeSans" w:hAnsi="FreeSans"/>
        </w:rPr>
      </w:pPr>
      <w:r>
        <w:rPr>
          <w:rFonts w:ascii="FreeSans" w:hAnsi="FreeSans"/>
        </w:rPr>
      </w:r>
    </w:p>
    <w:p>
      <w:pPr>
        <w:pStyle w:val="TextBody"/>
        <w:rPr>
          <w:rFonts w:ascii="FreeSans" w:hAnsi="FreeSans"/>
        </w:rPr>
      </w:pPr>
      <w:r>
        <w:rPr>
          <w:rFonts w:ascii="FreeSans" w:hAnsi="FreeSans"/>
        </w:rPr>
      </w:r>
    </w:p>
    <w:p>
      <w:pPr>
        <w:pStyle w:val="Heading1"/>
        <w:rPr/>
      </w:pPr>
      <w:r>
        <w:rPr/>
        <w:t>Introduction</w:t>
      </w:r>
    </w:p>
    <w:p>
      <w:pPr>
        <w:pStyle w:val="TextBody"/>
        <w:spacing w:lineRule="auto" w:line="360"/>
        <w:rPr/>
      </w:pPr>
      <w:r>
        <w:rPr>
          <w:rFonts w:ascii="FreeSans" w:hAnsi="FreeSans"/>
        </w:rPr>
        <w:t xml:space="preserve">Due to its ineffable nature and inextricable relationship with the lived experience, emotion has long prompted diverse and divisive attempts at conceptualisation and study. Scholars from diverse fields have provided their own unique perspective on the importance of emotion for healthcare </w:t>
      </w:r>
      <w:r>
        <w:fldChar w:fldCharType="begin"/>
      </w:r>
      <w:r>
        <w:rPr/>
        <w:instrText>ADDIN EN.CITE &lt;EndNote&gt;&lt;Cite&gt;&lt;Author&gt;Robichaud&lt;/Author&gt;&lt;Year&gt;2003&lt;/Year&gt;&lt;RecNum&gt;200&lt;/RecNum&gt;&lt;DisplayText&gt;(Robichaud 2003)&lt;/DisplayText&gt;&lt;record&gt;&lt;rec-number&gt;200&lt;/rec-number&gt;&lt;foreign-keys&gt;&lt;key app="EN" db-id="tp225fswxt9vame0rpbpsxebfwfxdwz9x5tx" timestamp="1460962981"&gt;200&lt;/key&gt;&lt;/foreign-keys&gt;&lt;ref-type name="Journal Article"&gt;17&lt;/ref-type&gt;&lt;contributors&gt;&lt;authors&gt;&lt;author&gt;Robichaud, Allyson L&lt;/author&gt;&lt;/authors&gt;&lt;/contributors&gt;&lt;titles&gt;&lt;title&gt;Healing and feeling: the clinical ontology of emotion&lt;/title&gt;&lt;secondary-title&gt;Bioethics&lt;/secondary-title&gt;&lt;/titles&gt;&lt;periodical&gt;&lt;full-title&gt;Bioethics&lt;/full-title&gt;&lt;/periodical&gt;&lt;pages&gt;59-68&lt;/pages&gt;&lt;volume&gt;17&lt;/volume&gt;&lt;number&gt;1&lt;/number&gt;&lt;dates&gt;&lt;year&gt;2003&lt;/year&gt;&lt;/dates&gt;&lt;isbn&gt;1467-8519&lt;/isbn&gt;&lt;urls&gt;&lt;/urls&gt;&lt;/record&gt;&lt;/Cite&gt;&lt;/EndNote&gt;</w:instrText>
      </w:r>
      <w:r>
        <w:rPr/>
        <w:fldChar w:fldCharType="separate"/>
      </w:r>
      <w:bookmarkStart w:id="0" w:name="__Fieldmark__22270_1677319845"/>
      <w:r>
        <w:rPr/>
      </w:r>
      <w:r>
        <w:rPr>
          <w:rFonts w:ascii="FreeSans" w:hAnsi="FreeSans"/>
        </w:rPr>
        <w:t>(</w:t>
      </w:r>
      <w:bookmarkStart w:id="1" w:name="__Fieldmark__16979_2090204579"/>
      <w:r>
        <w:rPr>
          <w:rFonts w:ascii="FreeSans" w:hAnsi="FreeSans"/>
        </w:rPr>
        <w:t>Robichaud 2003)</w:t>
      </w:r>
      <w:r>
        <w:rPr/>
      </w:r>
      <w:r>
        <w:rPr/>
        <w:fldChar w:fldCharType="end"/>
      </w:r>
      <w:bookmarkEnd w:id="0"/>
      <w:bookmarkEnd w:id="1"/>
      <w:r>
        <w:rPr>
          <w:rFonts w:ascii="FreeSans" w:hAnsi="FreeSans"/>
        </w:rPr>
        <w:t xml:space="preserve"> organisational research </w:t>
      </w:r>
      <w:r>
        <w:fldChar w:fldCharType="begin"/>
      </w:r>
      <w:r>
        <w:rPr/>
        <w:instrText>ADDIN EN.CITE &lt;EndNote&gt;&lt;Cite&gt;&lt;Author&gt;Elfenbein&lt;/Author&gt;&lt;Year&gt;2007&lt;/Year&gt;&lt;RecNum&gt;179&lt;/RecNum&gt;&lt;DisplayText&gt;(Elfenbein 2007)&lt;/DisplayText&gt;&lt;record&gt;&lt;rec-number&gt;179&lt;/rec-number&gt;&lt;foreign-keys&gt;&lt;key app="EN" db-id="tp225fswxt9vame0rpbpsxebfwfxdwz9x5tx" timestamp="1460599455"&gt;179&lt;/key&gt;&lt;/foreign-keys&gt;&lt;ref-type name="Journal Article"&gt;17&lt;/ref-type&gt;&lt;contributors&gt;&lt;authors&gt;&lt;author&gt;Elfenbein, Hillary Anger&lt;/author&gt;&lt;/authors&gt;&lt;/contributors&gt;&lt;titles&gt;&lt;title&gt;7 Emotion in Organizations: A Review and Theoretical Integration&lt;/title&gt;&lt;secondary-title&gt;The academy of management annals&lt;/secondary-title&gt;&lt;/titles&gt;&lt;periodical&gt;&lt;full-title&gt;The academy of management annals&lt;/full-title&gt;&lt;/periodical&gt;&lt;pages&gt;315-386&lt;/pages&gt;&lt;volume&gt;1&lt;/volume&gt;&lt;number&gt;1&lt;/number&gt;&lt;dates&gt;&lt;year&gt;2007&lt;/year&gt;&lt;/dates&gt;&lt;isbn&gt;1941-6520&lt;/isbn&gt;&lt;urls&gt;&lt;/urls&gt;&lt;/record&gt;&lt;/Cite&gt;&lt;/EndNote&gt;</w:instrText>
      </w:r>
      <w:r>
        <w:rPr/>
        <w:fldChar w:fldCharType="separate"/>
      </w:r>
      <w:bookmarkStart w:id="2" w:name="__Fieldmark__22277_1677319845"/>
      <w:r>
        <w:rPr/>
      </w:r>
      <w:r>
        <w:rPr>
          <w:rFonts w:ascii="FreeSans" w:hAnsi="FreeSans"/>
        </w:rPr>
        <w:t>(</w:t>
      </w:r>
      <w:bookmarkStart w:id="3" w:name="__Fieldmark__16984_2090204579"/>
      <w:r>
        <w:rPr>
          <w:rFonts w:ascii="FreeSans" w:hAnsi="FreeSans"/>
        </w:rPr>
        <w:t>Elfenbein 2007)</w:t>
      </w:r>
      <w:r>
        <w:rPr/>
      </w:r>
      <w:r>
        <w:rPr/>
        <w:fldChar w:fldCharType="end"/>
      </w:r>
      <w:bookmarkEnd w:id="2"/>
      <w:bookmarkEnd w:id="3"/>
      <w:r>
        <w:rPr>
          <w:rFonts w:ascii="FreeSans" w:hAnsi="FreeSans"/>
        </w:rPr>
        <w:t xml:space="preserve">, social psychology </w:t>
      </w:r>
      <w:r>
        <w:fldChar w:fldCharType="begin"/>
      </w:r>
      <w:r>
        <w:rPr/>
        <w:instrText>ADDIN EN.CITE &lt;EndNote&gt;&lt;Cite&gt;&lt;Author&gt;Forgas&lt;/Author&gt;&lt;Year&gt;2007&lt;/Year&gt;&lt;RecNum&gt;178&lt;/RecNum&gt;&lt;DisplayText&gt;(Forgas and Smith 2007)&lt;/DisplayText&gt;&lt;record&gt;&lt;rec-number&gt;178&lt;/rec-number&gt;&lt;foreign-keys&gt;&lt;key app="EN" db-id="tp225fswxt9vame0rpbpsxebfwfxdwz9x5tx" timestamp="1460599123"&gt;178&lt;/key&gt;&lt;/foreign-keys&gt;&lt;ref-type name="Book Section"&gt;5&lt;/ref-type&gt;&lt;contributors&gt;&lt;authors&gt;&lt;author&gt;Forgas, J. P.&lt;/author&gt;&lt;author&gt;Smith, C.&lt;/author&gt;&lt;/authors&gt;&lt;secondary-authors&gt;&lt;author&gt;M. A. Hogg &amp;amp; J. Cooper &lt;/author&gt;&lt;/secondary-authors&gt;&lt;/contributors&gt;&lt;titles&gt;&lt;title&gt;Affect and emotion&lt;/title&gt;&lt;secondary-title&gt;The SAGE handbook of social psychology&lt;/secondary-title&gt;&lt;/titles&gt;&lt;pages&gt;146-175&lt;/pages&gt;&lt;section&gt;7&lt;/section&gt;&lt;dates&gt;&lt;year&gt;2007&lt;/year&gt;&lt;/dates&gt;&lt;pub-location&gt;London&lt;/pub-location&gt;&lt;publisher&gt;SAGE Publications Ltd&lt;/publisher&gt;&lt;urls&gt;&lt;/urls&gt;&lt;/record&gt;&lt;/Cite&gt;&lt;/EndNote&gt;</w:instrText>
      </w:r>
      <w:r>
        <w:rPr/>
        <w:fldChar w:fldCharType="separate"/>
      </w:r>
      <w:bookmarkStart w:id="4" w:name="__Fieldmark__22284_1677319845"/>
      <w:r>
        <w:rPr/>
      </w:r>
      <w:r>
        <w:rPr>
          <w:rFonts w:ascii="FreeSans" w:hAnsi="FreeSans"/>
        </w:rPr>
        <w:t>(</w:t>
      </w:r>
      <w:bookmarkStart w:id="5" w:name="__Fieldmark__16989_2090204579"/>
      <w:r>
        <w:rPr>
          <w:rFonts w:ascii="FreeSans" w:hAnsi="FreeSans"/>
        </w:rPr>
        <w:t>Forgas and Smith 2007)</w:t>
      </w:r>
      <w:r>
        <w:rPr/>
      </w:r>
      <w:r>
        <w:rPr/>
        <w:fldChar w:fldCharType="end"/>
      </w:r>
      <w:bookmarkEnd w:id="4"/>
      <w:bookmarkEnd w:id="5"/>
      <w:r>
        <w:rPr>
          <w:rFonts w:ascii="FreeSans" w:hAnsi="FreeSans"/>
        </w:rPr>
        <w:t xml:space="preserve">, human geography </w:t>
      </w:r>
      <w:r>
        <w:fldChar w:fldCharType="begin"/>
      </w:r>
      <w:r>
        <w:rPr/>
        <w:instrText>ADDIN EN.CITE &lt;EndNote&gt;&lt;Cite&gt;&lt;Author&gt;Pile&lt;/Author&gt;&lt;Year&gt;2010&lt;/Year&gt;&lt;RecNum&gt;177&lt;/RecNum&gt;&lt;DisplayText&gt;(Pile 2010)&lt;/DisplayText&gt;&lt;record&gt;&lt;rec-number&gt;177&lt;/rec-number&gt;&lt;foreign-keys&gt;&lt;key app="EN" db-id="tp225fswxt9vame0rpbpsxebfwfxdwz9x5tx" timestamp="1460598481"&gt;177&lt;/key&gt;&lt;/foreign-keys&gt;&lt;ref-type name="Journal Article"&gt;17&lt;/ref-type&gt;&lt;contributors&gt;&lt;authors&gt;&lt;author&gt;Pile, Steve&lt;/author&gt;&lt;/authors&gt;&lt;/contributors&gt;&lt;titles&gt;&lt;title&gt;Emotions and affect in recent human geography&lt;/title&gt;&lt;secondary-title&gt;Transactions of the Institute of British Geographers&lt;/secondary-title&gt;&lt;/titles&gt;&lt;periodical&gt;&lt;full-title&gt;Transactions of the Institute of British geographers&lt;/full-title&gt;&lt;/periodical&gt;&lt;pages&gt;5-20&lt;/pages&gt;&lt;volume&gt;35&lt;/volume&gt;&lt;number&gt;1&lt;/number&gt;&lt;dates&gt;&lt;year&gt;2010&lt;/year&gt;&lt;/dates&gt;&lt;isbn&gt;1475-5661&lt;/isbn&gt;&lt;urls&gt;&lt;/urls&gt;&lt;/record&gt;&lt;/Cite&gt;&lt;/EndNote&gt;</w:instrText>
      </w:r>
      <w:r>
        <w:rPr/>
        <w:fldChar w:fldCharType="separate"/>
      </w:r>
      <w:bookmarkStart w:id="6" w:name="__Fieldmark__22291_1677319845"/>
      <w:r>
        <w:rPr/>
      </w:r>
      <w:r>
        <w:rPr>
          <w:rFonts w:ascii="FreeSans" w:hAnsi="FreeSans"/>
        </w:rPr>
        <w:t>(</w:t>
      </w:r>
      <w:bookmarkStart w:id="7" w:name="__Fieldmark__16994_2090204579"/>
      <w:r>
        <w:rPr>
          <w:rFonts w:ascii="FreeSans" w:hAnsi="FreeSans"/>
        </w:rPr>
        <w:t>Pile 2010)</w:t>
      </w:r>
      <w:r>
        <w:rPr/>
      </w:r>
      <w:r>
        <w:rPr/>
        <w:fldChar w:fldCharType="end"/>
      </w:r>
      <w:bookmarkEnd w:id="6"/>
      <w:bookmarkEnd w:id="7"/>
      <w:r>
        <w:rPr>
          <w:rFonts w:ascii="FreeSans" w:hAnsi="FreeSans"/>
        </w:rPr>
        <w:t xml:space="preserve">, and education </w:t>
      </w:r>
      <w:r>
        <w:fldChar w:fldCharType="begin"/>
      </w:r>
      <w:r>
        <w:rPr/>
        <w:instrText>ADDIN EN.CITE &lt;EndNote&gt;&lt;Cite&gt;&lt;Author&gt;Savage&lt;/Author&gt;&lt;Year&gt;2004&lt;/Year&gt;&lt;RecNum&gt;167&lt;/RecNum&gt;&lt;DisplayText&gt;(Savage 2004)&lt;/DisplayText&gt;&lt;record&gt;&lt;rec-number&gt;167&lt;/rec-number&gt;&lt;foreign-keys&gt;&lt;key app="EN" db-id="tp225fswxt9vame0rpbpsxebfwfxdwz9x5tx" timestamp="1460361101"&gt;167&lt;/key&gt;&lt;/foreign-keys&gt;&lt;ref-type name="Journal Article"&gt;17&lt;/ref-type&gt;&lt;contributors&gt;&lt;authors&gt;&lt;author&gt;Savage, Jan&lt;/author&gt;&lt;/authors&gt;&lt;/contributors&gt;&lt;titles&gt;&lt;title&gt;Researching emotion: the need for coherence between focus, theory and methodology&lt;/title&gt;&lt;secondary-title&gt;Nursing inquiry&lt;/secondary-title&gt;&lt;/titles&gt;&lt;periodical&gt;&lt;full-title&gt;Nursing inquiry&lt;/full-title&gt;&lt;/periodical&gt;&lt;pages&gt;25-34&lt;/pages&gt;&lt;volume&gt;11&lt;/volume&gt;&lt;number&gt;1&lt;/number&gt;&lt;dates&gt;&lt;year&gt;2004&lt;/year&gt;&lt;/dates&gt;&lt;isbn&gt;1440-1800&lt;/isbn&gt;&lt;urls&gt;&lt;/urls&gt;&lt;/record&gt;&lt;/Cite&gt;&lt;/EndNote&gt;</w:instrText>
      </w:r>
      <w:r>
        <w:rPr/>
        <w:fldChar w:fldCharType="separate"/>
      </w:r>
      <w:bookmarkStart w:id="8" w:name="__Fieldmark__22298_1677319845"/>
      <w:r>
        <w:rPr/>
      </w:r>
      <w:r>
        <w:rPr>
          <w:rFonts w:ascii="FreeSans" w:hAnsi="FreeSans"/>
        </w:rPr>
        <w:t>(</w:t>
      </w:r>
      <w:bookmarkStart w:id="9" w:name="__Fieldmark__16999_2090204579"/>
      <w:r>
        <w:rPr>
          <w:rFonts w:ascii="FreeSans" w:hAnsi="FreeSans"/>
        </w:rPr>
        <w:t>Savage 2004)</w:t>
      </w:r>
      <w:r>
        <w:rPr/>
      </w:r>
      <w:r>
        <w:rPr/>
        <w:fldChar w:fldCharType="end"/>
      </w:r>
      <w:bookmarkEnd w:id="8"/>
      <w:bookmarkEnd w:id="9"/>
      <w:r>
        <w:rPr>
          <w:rFonts w:ascii="FreeSans" w:hAnsi="FreeSans"/>
        </w:rPr>
        <w:t>. This diversity suggests an implicit agreement that emotions are powerful forces in the context of human interaction, but nevertheless the study of emotion is complex and challenging.</w:t>
      </w:r>
    </w:p>
    <w:p>
      <w:pPr>
        <w:pStyle w:val="TextBody"/>
        <w:spacing w:lineRule="auto" w:line="360"/>
        <w:rPr/>
      </w:pPr>
      <w:r>
        <w:rPr>
          <w:rFonts w:ascii="FreeSans" w:hAnsi="FreeSans"/>
        </w:rPr>
        <w:t xml:space="preserve">The history of division regarding what constitutes an emotion can be generally divided into two main approaches: socio-cultural and psychodynamic approaches. Scholars with a psychodynamic approach to studying emotions conceptualise them as solely internal, largely biological, feelings felt in relation to external stimuli </w:t>
      </w:r>
      <w:r>
        <w:fldChar w:fldCharType="begin"/>
      </w:r>
      <w:r>
        <w:rPr/>
        <w:instrText>ADDIN EN.CITE &lt;EndNote&gt;&lt;Cite&gt;&lt;Author&gt;Parkinson&lt;/Author&gt;&lt;Year&gt;1995&lt;/Year&gt;&lt;RecNum&gt;175&lt;/RecNum&gt;&lt;DisplayText&gt;(Parkinson 1995)&lt;/DisplayText&gt;&lt;record&gt;&lt;rec-number&gt;175&lt;/rec-number&gt;&lt;foreign-keys&gt;&lt;key app="EN" db-id="tp225fswxt9vame0rpbpsxebfwfxdwz9x5tx" timestamp="1460444548"&gt;175&lt;/key&gt;&lt;/foreign-keys&gt;&lt;ref-type name="Book"&gt;6&lt;/ref-type&gt;&lt;contributors&gt;&lt;authors&gt;&lt;author&gt;Parkinson, Brian&lt;/author&gt;&lt;/authors&gt;&lt;/contributors&gt;&lt;titles&gt;&lt;title&gt;Ideas and realities of emotion&lt;/title&gt;&lt;/titles&gt;&lt;dates&gt;&lt;year&gt;1995&lt;/year&gt;&lt;/dates&gt;&lt;publisher&gt;Psychology Press&lt;/publisher&gt;&lt;isbn&gt;0415028590&lt;/isbn&gt;&lt;urls&gt;&lt;/urls&gt;&lt;/record&gt;&lt;/Cite&gt;&lt;/EndNote&gt;</w:instrText>
      </w:r>
      <w:r>
        <w:rPr/>
        <w:fldChar w:fldCharType="separate"/>
      </w:r>
      <w:bookmarkStart w:id="10" w:name="__Fieldmark__22307_1677319845"/>
      <w:r>
        <w:rPr/>
      </w:r>
      <w:r>
        <w:rPr>
          <w:rFonts w:ascii="FreeSans" w:hAnsi="FreeSans"/>
        </w:rPr>
        <w:t>(</w:t>
      </w:r>
      <w:bookmarkStart w:id="11" w:name="__Fieldmark__17011_2090204579"/>
      <w:r>
        <w:rPr>
          <w:rFonts w:ascii="FreeSans" w:hAnsi="FreeSans"/>
        </w:rPr>
        <w:t>Parkinson 1995)</w:t>
      </w:r>
      <w:r>
        <w:rPr/>
      </w:r>
      <w:r>
        <w:rPr/>
        <w:fldChar w:fldCharType="end"/>
      </w:r>
      <w:bookmarkEnd w:id="10"/>
      <w:bookmarkEnd w:id="11"/>
      <w:r>
        <w:rPr>
          <w:rFonts w:ascii="FreeSans" w:hAnsi="FreeSans"/>
        </w:rPr>
        <w:t xml:space="preserve">. This corresponds with everyday language signifying emotion, presupposing interiority: ‘I am feeling sad’. This is crucial in psychology where feelings are experienced internally and then expressed outwardly in an ‘inside out’ model (Ahmed, 2013). Sociocultural approaches to the study of emotions place them within and dependant on social experiences and cultural contexts </w:t>
      </w:r>
      <w:r>
        <w:fldChar w:fldCharType="begin"/>
      </w:r>
      <w:r>
        <w:rPr/>
        <w:instrText>ADDIN EN.CITE &lt;EndNote&gt;&lt;Cite&gt;&lt;Author&gt;Lutz&lt;/Author&gt;&lt;Year&gt;1990&lt;/Year&gt;&lt;RecNum&gt;164&lt;/RecNum&gt;&lt;DisplayText&gt;(Rosaldo 1984, Lutz and Abu-Lughod 1990)&lt;/DisplayText&gt;&lt;record&gt;&lt;rec-number&gt;164&lt;/rec-number&gt;&lt;foreign-keys&gt;&lt;key app="EN" db-id="tp225fswxt9vame0rpbpsxebfwfxdwz9x5tx" timestamp="1458003246"&gt;164&lt;/key&gt;&lt;/foreign-keys&gt;&lt;ref-type name="Conference Proceedings"&gt;10&lt;/ref-type&gt;&lt;contributors&gt;&lt;authors&gt;&lt;author&gt;Lutz, Catherine A&lt;/author&gt;&lt;author&gt;Abu-Lughod, Lila Ed&lt;/author&gt;&lt;/authors&gt;&lt;/contributors&gt;&lt;titles&gt;&lt;title&gt;Language and the politics of emotion&lt;/title&gt;&lt;secondary-title&gt;This book grew out of a session at the 1987 annual meeting of the American Anthropological Association called&amp;quot; Emotion and Discourse.&amp;quot;&lt;/secondary-title&gt;&lt;/titles&gt;&lt;dates&gt;&lt;year&gt;1990&lt;/year&gt;&lt;/dates&gt;&lt;publisher&gt;Editions de la Maison des Sciences de l&amp;apos;Homme&lt;/publisher&gt;&lt;isbn&gt;0521382041&lt;/isbn&gt;&lt;urls&gt;&lt;/urls&gt;&lt;/record&gt;&lt;/Cite&gt;&lt;Cite&gt;&lt;Author&gt;Rosaldo&lt;/Author&gt;&lt;Year&gt;1984&lt;/Year&gt;&lt;RecNum&gt;389&lt;/RecNum&gt;&lt;record&gt;&lt;rec-number&gt;389&lt;/rec-number&gt;&lt;foreign-keys&gt;&lt;key app="EN" db-id="tp225fswxt9vame0rpbpsxebfwfxdwz9x5tx" timestamp="1491461657"&gt;389&lt;/key&gt;&lt;/foreign-keys&gt;&lt;ref-type name="Journal Article"&gt;17&lt;/ref-type&gt;&lt;contributors&gt;&lt;authors&gt;&lt;author&gt;Rosaldo, Michelle&lt;/author&gt;&lt;/authors&gt;&lt;/contributors&gt;&lt;titles&gt;&lt;title&gt;Toward an anthropology of self and feeling&lt;/title&gt;&lt;secondary-title&gt;Culture theory: Essays on mind, self, and emotion&lt;/secondary-title&gt;&lt;/titles&gt;&lt;periodical&gt;&lt;full-title&gt;Culture theory: Essays on mind, self, and emotion&lt;/full-title&gt;&lt;/periodical&gt;&lt;dates&gt;&lt;year&gt;1984&lt;/year&gt;&lt;/dates&gt;&lt;urls&gt;&lt;/urls&gt;&lt;/record&gt;&lt;/Cite&gt;&lt;/EndNote&gt;</w:instrText>
      </w:r>
      <w:r>
        <w:rPr/>
        <w:fldChar w:fldCharType="separate"/>
      </w:r>
      <w:bookmarkStart w:id="12" w:name="__Fieldmark__22314_1677319845"/>
      <w:r>
        <w:rPr/>
      </w:r>
      <w:r>
        <w:rPr>
          <w:rFonts w:ascii="FreeSans" w:hAnsi="FreeSans"/>
        </w:rPr>
        <w:t>(</w:t>
      </w:r>
      <w:bookmarkStart w:id="13" w:name="__Fieldmark__17022_2090204579"/>
      <w:r>
        <w:rPr>
          <w:rFonts w:ascii="FreeSans" w:hAnsi="FreeSans"/>
        </w:rPr>
        <w:t>Rosaldo 1984, Lutz and Abu-Lughod 1990)</w:t>
      </w:r>
      <w:r>
        <w:rPr/>
      </w:r>
      <w:r>
        <w:rPr/>
        <w:fldChar w:fldCharType="end"/>
      </w:r>
      <w:bookmarkEnd w:id="12"/>
      <w:bookmarkEnd w:id="13"/>
      <w:r>
        <w:rPr>
          <w:rFonts w:ascii="FreeSans" w:hAnsi="FreeSans"/>
        </w:rPr>
        <w:t xml:space="preserve">. In socio-cultural approaches to emotion, the conscious, active processes of emotion management are emphasised, rejecting the passive reception of emotions in the psychodynamic approaches. These processes are strongly influenced by learnt convictions and rules and are often improvisations based on an interpretation of objects or situations </w:t>
      </w:r>
      <w:r>
        <w:fldChar w:fldCharType="begin"/>
      </w:r>
      <w:r>
        <w:rPr/>
        <w:instrText>ADDIN EN.CITE &lt;EndNote&gt;&lt;Cite&gt;&lt;Author&gt;Cornelius&lt;/Author&gt;&lt;Year&gt;1996&lt;/Year&gt;&lt;RecNum&gt;203&lt;/RecNum&gt;&lt;DisplayText&gt;(Cornelius 1996)&lt;/DisplayText&gt;&lt;record&gt;&lt;rec-number&gt;203&lt;/rec-number&gt;&lt;foreign-keys&gt;&lt;key app="EN" db-id="tp225fswxt9vame0rpbpsxebfwfxdwz9x5tx" timestamp="1460963356"&gt;203&lt;/key&gt;&lt;/foreign-keys&gt;&lt;ref-type name="Book"&gt;6&lt;/ref-type&gt;&lt;contributors&gt;&lt;authors&gt;&lt;author&gt;Cornelius, Randolph R&lt;/author&gt;&lt;/authors&gt;&lt;/contributors&gt;&lt;titles&gt;&lt;title&gt;The science of emotion: Research and tradition in the psychology of emotions&lt;/title&gt;&lt;/titles&gt;&lt;dates&gt;&lt;year&gt;1996&lt;/year&gt;&lt;/dates&gt;&lt;publisher&gt;Prentice-Hall, Inc&lt;/publisher&gt;&lt;isbn&gt;0133001539&lt;/isbn&gt;&lt;urls&gt;&lt;/urls&gt;&lt;/record&gt;&lt;/Cite&gt;&lt;/EndNote&gt;</w:instrText>
      </w:r>
      <w:r>
        <w:rPr/>
        <w:fldChar w:fldCharType="separate"/>
      </w:r>
      <w:bookmarkStart w:id="14" w:name="__Fieldmark__22321_1677319845"/>
      <w:r>
        <w:rPr/>
      </w:r>
      <w:r>
        <w:rPr>
          <w:rFonts w:ascii="FreeSans" w:hAnsi="FreeSans"/>
        </w:rPr>
        <w:t>(</w:t>
      </w:r>
      <w:bookmarkStart w:id="15" w:name="__Fieldmark__17028_2090204579"/>
      <w:r>
        <w:rPr>
          <w:rFonts w:ascii="FreeSans" w:hAnsi="FreeSans"/>
        </w:rPr>
        <w:t>Cornelius 1996)</w:t>
      </w:r>
      <w:r>
        <w:rPr/>
      </w:r>
      <w:r>
        <w:rPr/>
        <w:fldChar w:fldCharType="end"/>
      </w:r>
      <w:bookmarkEnd w:id="14"/>
      <w:bookmarkEnd w:id="15"/>
      <w:r>
        <w:rPr>
          <w:rFonts w:ascii="FreeSans" w:hAnsi="FreeSans"/>
        </w:rPr>
        <w:t xml:space="preserve">. Often these perspectives of emotion are drawn from symbolic interactionism, identifying the role feelings play in social control, as emotions are shaped by the definitional and situational influences stressed by symbolic interactionists </w:t>
      </w:r>
      <w:r>
        <w:fldChar w:fldCharType="begin"/>
      </w:r>
      <w:r>
        <w:rPr/>
        <w:instrText>ADDIN EN.CITE &lt;EndNote&gt;&lt;Cite&gt;&lt;Author&gt;Shott&lt;/Author&gt;&lt;Year&gt;1979&lt;/Year&gt;&lt;RecNum&gt;259&lt;/RecNum&gt;&lt;DisplayText&gt;(Shott 1979)&lt;/DisplayText&gt;&lt;record&gt;&lt;rec-number&gt;259&lt;/rec-number&gt;&lt;foreign-keys&gt;&lt;key app="EN" db-id="tp225fswxt9vame0rpbpsxebfwfxdwz9x5tx" timestamp="1479359708"&gt;259&lt;/key&gt;&lt;/foreign-keys&gt;&lt;ref-type name="Journal Article"&gt;17&lt;/ref-type&gt;&lt;contributors&gt;&lt;authors&gt;&lt;author&gt;Shott, Susan&lt;/author&gt;&lt;/authors&gt;&lt;/contributors&gt;&lt;titles&gt;&lt;title&gt;Emotion and social life: A symbolic interactionist analysis&lt;/title&gt;&lt;secondary-title&gt;American journal of Sociology&lt;/secondary-title&gt;&lt;/titles&gt;&lt;periodical&gt;&lt;full-title&gt;American Journal of Sociology&lt;/full-title&gt;&lt;/periodical&gt;&lt;pages&gt;1317-1334&lt;/pages&gt;&lt;dates&gt;&lt;year&gt;1979&lt;/year&gt;&lt;/dates&gt;&lt;isbn&gt;0002-9602&lt;/isbn&gt;&lt;urls&gt;&lt;/urls&gt;&lt;/record&gt;&lt;/Cite&gt;&lt;/EndNote&gt;</w:instrText>
      </w:r>
      <w:r>
        <w:rPr/>
        <w:fldChar w:fldCharType="separate"/>
      </w:r>
      <w:bookmarkStart w:id="16" w:name="__Fieldmark__22328_1677319845"/>
      <w:r>
        <w:rPr/>
      </w:r>
      <w:r>
        <w:rPr>
          <w:rFonts w:ascii="FreeSans" w:hAnsi="FreeSans"/>
        </w:rPr>
        <w:t>(</w:t>
      </w:r>
      <w:bookmarkStart w:id="17" w:name="__Fieldmark__17033_2090204579"/>
      <w:r>
        <w:rPr>
          <w:rFonts w:ascii="FreeSans" w:hAnsi="FreeSans"/>
        </w:rPr>
        <w:t>Shott 1979)</w:t>
      </w:r>
      <w:r>
        <w:rPr/>
      </w:r>
      <w:r>
        <w:rPr/>
        <w:fldChar w:fldCharType="end"/>
      </w:r>
      <w:bookmarkEnd w:id="16"/>
      <w:bookmarkEnd w:id="17"/>
      <w:r>
        <w:rPr>
          <w:rFonts w:ascii="FreeSans" w:hAnsi="FreeSans"/>
        </w:rPr>
        <w:t xml:space="preserve"> However, other perspectives argue that these approaches are limited due to their narrow view of emotions as linguistic and conceptual constructs assembled in relation to others, often ignoring the importance of individual embodied experiences of emotion (Zembylas 2007). </w:t>
      </w:r>
    </w:p>
    <w:p>
      <w:pPr>
        <w:pStyle w:val="TextBody"/>
        <w:spacing w:lineRule="auto" w:line="360"/>
        <w:rPr>
          <w:rFonts w:ascii="FreeSans" w:hAnsi="FreeSans"/>
        </w:rPr>
      </w:pPr>
      <w:r>
        <w:rPr>
          <w:rFonts w:ascii="FreeSans" w:hAnsi="FreeSans"/>
        </w:rPr>
        <w:t>A relatively new and inclusive approach to studying emotion is the ‘interactionist’ approach (Savage 2004, p. 27). Drawing from both socio-cultural and psychodynamic approaches, the interactionist approach understands emotions as embedded in social and cultural contexts, with an emphasis on the roles that language, bodily performance, politics and culture more generally play in the constitution of emotional experiences. Vital to this approach is an acknowledgment of the socially embedded nature of feeling and experience and that these ‘sensate, coporeal’ (Burkitt 1997, p. 43) feelings and experiences are localised in the body and relationships between bodies (Pile 2010). The ‘interactionist’ approach is reflected in Ahmed’s (2013) use of the term ‘impression’ over experience to describe emotions. This is to avoid pre-supposing a divide between bodily sensations, emotion and cognition in analytic work regarding ‘emotional experience’. Further, ‘impression’ not only suggests a cognitive and an emotional response to an object, but also physical contact: ‘we need to remember the press in impression’ (p. 6).</w:t>
      </w:r>
    </w:p>
    <w:p>
      <w:pPr>
        <w:pStyle w:val="TextBody"/>
        <w:spacing w:lineRule="auto" w:line="360"/>
        <w:rPr>
          <w:szCs w:val="24"/>
        </w:rPr>
      </w:pPr>
      <w:r>
        <w:rPr>
          <w:rFonts w:ascii="FreeSans" w:hAnsi="FreeSans"/>
        </w:rPr>
        <w:t xml:space="preserve">While the proponents of an interactionist approach to emotions provide an important and theoretically coherent blueprint for exploring emotions, there is limited explanation of how to operationalise this approach in specific contexts. This paper presents an exemplar of an interactionist approach to emotion using analytical plurality. The research design attended to emotions as culturally relevant, public performances, reflecting power relations and mediating between subjective experiences and social practices (Zembylas 2007). </w:t>
      </w:r>
    </w:p>
    <w:p>
      <w:pPr>
        <w:pStyle w:val="TextBody"/>
        <w:spacing w:lineRule="auto" w:line="360"/>
        <w:rPr>
          <w:rFonts w:ascii="FreeSans" w:hAnsi="FreeSans"/>
        </w:rPr>
      </w:pPr>
      <w:r>
        <w:rPr>
          <w:rFonts w:ascii="FreeSans" w:hAnsi="FreeSans"/>
        </w:rPr>
      </w:r>
    </w:p>
    <w:p>
      <w:pPr>
        <w:pStyle w:val="Heading2"/>
        <w:rPr/>
      </w:pPr>
      <w:r>
        <w:rPr/>
        <w:t>Study</w:t>
      </w:r>
    </w:p>
    <w:p>
      <w:pPr>
        <w:pStyle w:val="TextBody"/>
        <w:spacing w:lineRule="auto" w:line="360"/>
        <w:rPr>
          <w:rFonts w:ascii="FreeSans" w:hAnsi="FreeSans"/>
        </w:rPr>
      </w:pPr>
      <w:r>
        <w:rPr>
          <w:rFonts w:ascii="FreeSans" w:hAnsi="FreeSans"/>
        </w:rPr>
        <w:t xml:space="preserve">This paper is based on a study to better understand emotions and knowledge translation (KT) in community-based palliative care by examining the emotions clinicians experience apropos critical incidents and the ways these emotions relate to KT during and after these incidents. This study involved a naturalistic inquiry of critical incidents in palliative care settings using a qualitative, narrative approach to collecting and analysing data. Data collection occurred over 12 months and involved shadowing participants to observe their practice and document emotion-laden critical events via field notes and impromptu audio-recorded interviews with participants. </w:t>
      </w:r>
    </w:p>
    <w:p>
      <w:pPr>
        <w:pStyle w:val="TextBody"/>
        <w:spacing w:lineRule="auto" w:line="360"/>
        <w:rPr>
          <w:rFonts w:ascii="FreeSans" w:hAnsi="FreeSans"/>
        </w:rPr>
      </w:pPr>
      <w:r>
        <w:rPr>
          <w:rFonts w:ascii="FreeSans" w:hAnsi="FreeSans"/>
        </w:rPr>
      </w:r>
    </w:p>
    <w:p>
      <w:pPr>
        <w:pStyle w:val="Heading2"/>
        <w:rPr>
          <w:b/>
          <w:b/>
          <w:i/>
          <w:i/>
          <w:szCs w:val="24"/>
        </w:rPr>
      </w:pPr>
      <w:r>
        <w:rPr/>
        <w:t xml:space="preserve">Setting </w:t>
      </w:r>
    </w:p>
    <w:p>
      <w:pPr>
        <w:pStyle w:val="TextBody"/>
        <w:spacing w:lineRule="auto" w:line="360"/>
        <w:rPr/>
      </w:pPr>
      <w:r>
        <w:rPr>
          <w:rFonts w:ascii="FreeSans" w:hAnsi="FreeSans"/>
        </w:rPr>
        <w:t xml:space="preserve">Palliative care focuses on improving quality of life through pain relief and symptom management to promote a self-determined good death </w:t>
      </w:r>
      <w:r>
        <w:fldChar w:fldCharType="begin"/>
      </w:r>
      <w:r>
        <w:rPr/>
        <w:instrText>ADDIN EN.CITE &lt;EndNote&gt;&lt;Cite&gt;&lt;Author&gt;Finlay&lt;/Author&gt;&lt;Year&gt;2003&lt;/Year&gt;&lt;RecNum&gt;115&lt;/RecNum&gt;&lt;DisplayText&gt;(Finlay 2003)&lt;/DisplayText&gt;&lt;record&gt;&lt;rec-number&gt;115&lt;/rec-number&gt;&lt;foreign-keys&gt;&lt;key app="EN" db-id="tp225fswxt9vame0rpbpsxebfwfxdwz9x5tx" timestamp="1448859611"&gt;115&lt;/key&gt;&lt;/foreign-keys&gt;&lt;ref-type name="Journal Article"&gt;17&lt;/ref-type&gt;&lt;contributors&gt;&lt;authors&gt;&lt;author&gt;Finlay, Ilora&lt;/author&gt;&lt;/authors&gt;&lt;/contributors&gt;&lt;titles&gt;&lt;title&gt;Dying with dignity&lt;/title&gt;&lt;secondary-title&gt;Clinical Medicine&lt;/secondary-title&gt;&lt;/titles&gt;&lt;periodical&gt;&lt;full-title&gt;Clinical Medicine&lt;/full-title&gt;&lt;/periodical&gt;&lt;pages&gt;102-103&lt;/pages&gt;&lt;volume&gt;3&lt;/volume&gt;&lt;number&gt;2&lt;/number&gt;&lt;dates&gt;&lt;year&gt;2003&lt;/year&gt;&lt;/dates&gt;&lt;isbn&gt;1470-2118&lt;/isbn&gt;&lt;urls&gt;&lt;/urls&gt;&lt;/record&gt;&lt;/Cite&gt;&lt;/EndNote&gt;</w:instrText>
      </w:r>
      <w:r>
        <w:rPr/>
        <w:fldChar w:fldCharType="separate"/>
      </w:r>
      <w:bookmarkStart w:id="18" w:name="__Fieldmark__22342_1677319845"/>
      <w:r>
        <w:rPr/>
      </w:r>
      <w:r>
        <w:rPr>
          <w:rFonts w:ascii="FreeSans" w:hAnsi="FreeSans"/>
        </w:rPr>
        <w:t>(</w:t>
      </w:r>
      <w:bookmarkStart w:id="19" w:name="__Fieldmark__17096_2090204579"/>
      <w:r>
        <w:rPr>
          <w:rFonts w:ascii="FreeSans" w:hAnsi="FreeSans"/>
        </w:rPr>
        <w:t>Finlay 2003)</w:t>
      </w:r>
      <w:r>
        <w:rPr/>
      </w:r>
      <w:r>
        <w:rPr/>
        <w:fldChar w:fldCharType="end"/>
      </w:r>
      <w:bookmarkEnd w:id="18"/>
      <w:bookmarkEnd w:id="19"/>
      <w:r>
        <w:rPr>
          <w:rFonts w:ascii="FreeSans" w:hAnsi="FreeSans"/>
        </w:rPr>
        <w:t xml:space="preserve">. This focus aligns with the concept of ‘dignity’ in dying </w:t>
      </w:r>
      <w:r>
        <w:fldChar w:fldCharType="begin"/>
      </w:r>
      <w:r>
        <w:rPr/>
        <w:instrText>ADDIN EN.CITE &lt;EndNote&gt;&lt;Cite&gt;&lt;Author&gt;Abiven&lt;/Author&gt;&lt;Year&gt;1991&lt;/Year&gt;&lt;RecNum&gt;25&lt;/RecNum&gt;&lt;DisplayText&gt;(Abiven 1991)&lt;/DisplayText&gt;&lt;record&gt;&lt;rec-number&gt;25&lt;/rec-number&gt;&lt;foreign-keys&gt;&lt;key app="EN" db-id="tp225fswxt9vame0rpbpsxebfwfxdwz9x5tx" timestamp="1435624503"&gt;25&lt;/key&gt;&lt;/foreign-keys&gt;&lt;ref-type name="Journal Article"&gt;17&lt;/ref-type&gt;&lt;contributors&gt;&lt;authors&gt;&lt;author&gt;Abiven, M.&lt;/author&gt;&lt;/authors&gt;&lt;/contributors&gt;&lt;auth-address&gt;French Society for Palliative Care and Support, Paris.&lt;/auth-address&gt;&lt;titles&gt;&lt;title&gt;Dying with dignity&lt;/title&gt;&lt;secondary-title&gt;World Health Forum&lt;/secondary-title&gt;&lt;alt-title&gt;World health forum&lt;/alt-title&gt;&lt;/titles&gt;&lt;periodical&gt;&lt;full-title&gt;World Health Forum&lt;/full-title&gt;&lt;abbr-1&gt;World health forum&lt;/abbr-1&gt;&lt;/periodical&gt;&lt;alt-periodical&gt;&lt;full-title&gt;World Health Forum&lt;/full-title&gt;&lt;abbr-1&gt;World health forum&lt;/abbr-1&gt;&lt;/alt-periodical&gt;&lt;pages&gt;375-81; discussion 382-98&lt;/pages&gt;&lt;volume&gt;12&lt;/volume&gt;&lt;number&gt;4&lt;/number&gt;&lt;keywords&gt;&lt;keyword&gt;Ethics, Medical&lt;/keyword&gt;&lt;keyword&gt;Female&lt;/keyword&gt;&lt;keyword&gt;Global Health&lt;/keyword&gt;&lt;keyword&gt;Humans&lt;/keyword&gt;&lt;keyword&gt;Neoplasms/mortality/psychology/therapy&lt;/keyword&gt;&lt;keyword&gt;*Palliative Care&lt;/keyword&gt;&lt;keyword&gt;Quality of Life&lt;/keyword&gt;&lt;keyword&gt;*Right to Die&lt;/keyword&gt;&lt;keyword&gt;Social Support&lt;/keyword&gt;&lt;/keywords&gt;&lt;dates&gt;&lt;year&gt;1991&lt;/year&gt;&lt;/dates&gt;&lt;isbn&gt;0251-2432 (Print)&amp;#xD;0251-2432 (Linking)&lt;/isbn&gt;&lt;accession-num&gt;1726501&lt;/accession-num&gt;&lt;urls&gt;&lt;related-urls&gt;&lt;url&gt;http://www.ncbi.nlm.nih.gov/pubmed/1726501&lt;/url&gt;&lt;/related-urls&gt;&lt;/urls&gt;&lt;/record&gt;&lt;/Cite&gt;&lt;/EndNote&gt;</w:instrText>
      </w:r>
      <w:r>
        <w:rPr/>
        <w:fldChar w:fldCharType="separate"/>
      </w:r>
      <w:bookmarkStart w:id="20" w:name="__Fieldmark__22349_1677319845"/>
      <w:r>
        <w:rPr/>
      </w:r>
      <w:r>
        <w:rPr>
          <w:rFonts w:ascii="FreeSans" w:hAnsi="FreeSans"/>
        </w:rPr>
        <w:t>(</w:t>
      </w:r>
      <w:bookmarkStart w:id="21" w:name="__Fieldmark__17101_2090204579"/>
      <w:r>
        <w:rPr>
          <w:rFonts w:ascii="FreeSans" w:hAnsi="FreeSans"/>
        </w:rPr>
        <w:t>Abiven 1991)</w:t>
      </w:r>
      <w:r>
        <w:rPr/>
      </w:r>
      <w:r>
        <w:rPr/>
        <w:fldChar w:fldCharType="end"/>
      </w:r>
      <w:bookmarkEnd w:id="20"/>
      <w:bookmarkEnd w:id="21"/>
      <w:r>
        <w:rPr>
          <w:rFonts w:ascii="FreeSans" w:hAnsi="FreeSans"/>
        </w:rPr>
        <w:t xml:space="preserve"> and thus encompasses the psychosocial, spiritual and existential </w:t>
      </w:r>
      <w:r>
        <w:fldChar w:fldCharType="begin"/>
      </w:r>
      <w:r>
        <w:rPr/>
        <w:instrText>ADDIN EN.CITE &lt;EndNote&gt;&lt;Cite&gt;&lt;Author&gt;Chochinov&lt;/Author&gt;&lt;Year&gt;2002&lt;/Year&gt;&lt;RecNum&gt;24&lt;/RecNum&gt;&lt;DisplayText&gt;(Chochinov 2002)&lt;/DisplayText&gt;&lt;record&gt;&lt;rec-number&gt;24&lt;/rec-number&gt;&lt;foreign-keys&gt;&lt;key app="EN" db-id="tp225fswxt9vame0rpbpsxebfwfxdwz9x5tx" timestamp="1435545144"&gt;24&lt;/key&gt;&lt;/foreign-keys&gt;&lt;ref-type name="Journal Article"&gt;17&lt;/ref-type&gt;&lt;contributors&gt;&lt;authors&gt;&lt;author&gt;Chochinov, H. M.&lt;/author&gt;&lt;/authors&gt;&lt;/contributors&gt;&lt;auth-address&gt;Chochinov, HM&amp;#xD;FR CPC, PX246,771 Bannatyne Ave, Winnipeg, MB R3E 3N4, Canada&amp;#xD;FR CPC, PX246,771 Bannatyne Ave, Winnipeg, MB R3E 3N4, Canada&amp;#xD;Univ Manitoba, Dept Psychiat, Winnipeg, MB R3T 2N2, Canada&amp;#xD;Canc Care, Winnipeg, MB, Canada&lt;/auth-address&gt;&lt;titles&gt;&lt;title&gt;Dignity-conserving cre - A new model for palliative care - Helping the patient feel valued&lt;/title&gt;&lt;secondary-title&gt;Jama-Journal of the American Medical Association&lt;/secondary-title&gt;&lt;alt-title&gt;Jama-J Am Med Assoc&lt;/alt-title&gt;&lt;/titles&gt;&lt;periodical&gt;&lt;full-title&gt;Jama-Journal of the American Medical Association&lt;/full-title&gt;&lt;abbr-1&gt;Jama-J Am Med Assoc&lt;/abbr-1&gt;&lt;/periodical&gt;&lt;alt-periodical&gt;&lt;full-title&gt;Jama-Journal of the American Medical Association&lt;/full-title&gt;&lt;abbr-1&gt;Jama-J Am Med Assoc&lt;/abbr-1&gt;&lt;/alt-periodical&gt;&lt;pages&gt;2253-2260&lt;/pages&gt;&lt;volume&gt;287&lt;/volume&gt;&lt;number&gt;17&lt;/number&gt;&lt;keywords&gt;&lt;keyword&gt;physician-assisted suicide&lt;/keyword&gt;&lt;keyword&gt;terminally ill patients&lt;/keyword&gt;&lt;keyword&gt;of-life care&lt;/keyword&gt;&lt;keyword&gt;fighting spirit&lt;/keyword&gt;&lt;keyword&gt;end&lt;/keyword&gt;&lt;keyword&gt;euthanasia&lt;/keyword&gt;&lt;keyword&gt;cancer&lt;/keyword&gt;&lt;keyword&gt;death&lt;/keyword&gt;&lt;keyword&gt;attitudes&lt;/keyword&gt;&lt;keyword&gt;quality&lt;/keyword&gt;&lt;/keywords&gt;&lt;dates&gt;&lt;year&gt;2002&lt;/year&gt;&lt;pub-dates&gt;&lt;date&gt;May 1&lt;/date&gt;&lt;/pub-dates&gt;&lt;/dates&gt;&lt;isbn&gt;0098-7484&lt;/isbn&gt;&lt;accession-num&gt;WOS:000175260600025&lt;/accession-num&gt;&lt;urls&gt;&lt;related-urls&gt;&lt;url&gt;&amp;lt;Go to ISI&amp;gt;://WOS:000175260600025&lt;/url&gt;&lt;/related-urls&gt;&lt;/urls&gt;&lt;electronic-resource-num&gt;DOI 10.1001/jama.287.17.2253&lt;/electronic-resource-num&gt;&lt;language&gt;English&lt;/language&gt;&lt;/record&gt;&lt;/Cite&gt;&lt;/EndNote&gt;</w:instrText>
      </w:r>
      <w:r>
        <w:rPr/>
        <w:fldChar w:fldCharType="separate"/>
      </w:r>
      <w:bookmarkStart w:id="22" w:name="__Fieldmark__22356_1677319845"/>
      <w:r>
        <w:rPr/>
      </w:r>
      <w:r>
        <w:rPr>
          <w:rFonts w:ascii="FreeSans" w:hAnsi="FreeSans"/>
        </w:rPr>
        <w:t>(</w:t>
      </w:r>
      <w:bookmarkStart w:id="23" w:name="__Fieldmark__17106_2090204579"/>
      <w:r>
        <w:rPr>
          <w:rFonts w:ascii="FreeSans" w:hAnsi="FreeSans"/>
        </w:rPr>
        <w:t>Chochinov 2002)</w:t>
      </w:r>
      <w:r>
        <w:rPr/>
      </w:r>
      <w:r>
        <w:rPr/>
        <w:fldChar w:fldCharType="end"/>
      </w:r>
      <w:bookmarkEnd w:id="22"/>
      <w:bookmarkEnd w:id="23"/>
      <w:r>
        <w:rPr>
          <w:rFonts w:ascii="FreeSans" w:hAnsi="FreeSans"/>
        </w:rPr>
        <w:t xml:space="preserve">. The role of emotion in palliative care has developed from a now strong trend of patient-centred care requiring compassion and empathy, founded on emotion work </w:t>
      </w:r>
      <w:r>
        <w:fldChar w:fldCharType="begin"/>
      </w:r>
      <w:r>
        <w:rPr/>
        <w:instrText>ADDIN EN.CITE &lt;EndNote&gt;&lt;Cite&gt;&lt;Author&gt;Gray&lt;/Author&gt;&lt;Year&gt;2009&lt;/Year&gt;&lt;RecNum&gt;173&lt;/RecNum&gt;&lt;DisplayText&gt;(Gray and Smith 2009, Riley and Weiss 2016)&lt;/DisplayText&gt;&lt;record&gt;&lt;rec-number&gt;173&lt;/rec-number&gt;&lt;foreign-keys&gt;&lt;key app="EN" db-id="tp225fswxt9vame0rpbpsxebfwfxdwz9x5tx" timestamp="1460428834"&gt;173&lt;/key&gt;&lt;/foreign-keys&gt;&lt;ref-type name="Journal Article"&gt;17&lt;/ref-type&gt;&lt;contributors&gt;&lt;authors&gt;&lt;author&gt;Gray, Benjamin&lt;/author&gt;&lt;author&gt;Smith, Pam&lt;/author&gt;&lt;/authors&gt;&lt;/contributors&gt;&lt;titles&gt;&lt;title&gt;Emotional labour and the clinical settings of nursing care: The perspectives of nurses in East London&lt;/title&gt;&lt;secondary-title&gt;Nurse Education in Practice&lt;/secondary-title&gt;&lt;/titles&gt;&lt;periodical&gt;&lt;full-title&gt;Nurse Education in Practice&lt;/full-title&gt;&lt;/periodical&gt;&lt;pages&gt;253-261&lt;/pages&gt;&lt;volume&gt;9&lt;/volume&gt;&lt;number&gt;4&lt;/number&gt;&lt;dates&gt;&lt;year&gt;2009&lt;/year&gt;&lt;/dates&gt;&lt;isbn&gt;1471-5953&lt;/isbn&gt;&lt;urls&gt;&lt;/urls&gt;&lt;/record&gt;&lt;/Cite&gt;&lt;Cite&gt;&lt;Author&gt;Riley&lt;/Author&gt;&lt;Year&gt;2016&lt;/Year&gt;&lt;RecNum&gt;169&lt;/RecNum&gt;&lt;record&gt;&lt;rec-number&gt;169&lt;/rec-number&gt;&lt;foreign-keys&gt;&lt;key app="EN" db-id="tp225fswxt9vame0rpbpsxebfwfxdwz9x5tx" timestamp="1460427792"&gt;169&lt;/key&gt;&lt;/foreign-keys&gt;&lt;ref-type name="Journal Article"&gt;17&lt;/ref-type&gt;&lt;contributors&gt;&lt;authors&gt;&lt;author&gt;Riley, Ruth&lt;/author&gt;&lt;author&gt;Weiss, Marjorie C&lt;/author&gt;&lt;/authors&gt;&lt;/contributors&gt;&lt;titles&gt;&lt;title&gt;A qualitative thematic review: emotional labour in healthcare settings&lt;/title&gt;&lt;secondary-title&gt;Journal of advanced nursing&lt;/secondary-title&gt;&lt;/titles&gt;&lt;periodical&gt;&lt;full-title&gt;Journal of advanced nursing&lt;/full-title&gt;&lt;/periodical&gt;&lt;pages&gt;6-17&lt;/pages&gt;&lt;volume&gt;72&lt;/volume&gt;&lt;number&gt;1&lt;/number&gt;&lt;dates&gt;&lt;year&gt;2016&lt;/year&gt;&lt;/dates&gt;&lt;isbn&gt;1365-2648&lt;/isbn&gt;&lt;urls&gt;&lt;/urls&gt;&lt;/record&gt;&lt;/Cite&gt;&lt;/EndNote&gt;</w:instrText>
      </w:r>
      <w:r>
        <w:rPr/>
        <w:fldChar w:fldCharType="separate"/>
      </w:r>
      <w:bookmarkStart w:id="24" w:name="__Fieldmark__22363_1677319845"/>
      <w:r>
        <w:rPr/>
      </w:r>
      <w:r>
        <w:rPr>
          <w:rFonts w:ascii="FreeSans" w:hAnsi="FreeSans"/>
        </w:rPr>
        <w:t>(</w:t>
      </w:r>
      <w:bookmarkStart w:id="25" w:name="__Fieldmark__17116_2090204579"/>
      <w:r>
        <w:rPr>
          <w:rFonts w:ascii="FreeSans" w:hAnsi="FreeSans"/>
        </w:rPr>
        <w:t>Gray and Smith 2009, Riley and Weiss 2016)</w:t>
      </w:r>
      <w:r>
        <w:rPr/>
      </w:r>
      <w:r>
        <w:rPr/>
        <w:fldChar w:fldCharType="end"/>
      </w:r>
      <w:bookmarkEnd w:id="24"/>
      <w:bookmarkEnd w:id="25"/>
      <w:r>
        <w:rPr>
          <w:rFonts w:ascii="FreeSans" w:hAnsi="FreeSans"/>
        </w:rPr>
        <w:t xml:space="preserve">. In community-based palliative care, clinicians experience and witness a variety of emotional states due to the nature of their work </w:t>
      </w:r>
      <w:r>
        <w:fldChar w:fldCharType="begin"/>
      </w:r>
      <w:r>
        <w:rPr/>
        <w:instrText>ADDIN EN.CITE &lt;EndNote&gt;&lt;Cite&gt;&lt;Author&gt;Weissman&lt;/Author&gt;&lt;Year&gt;2009&lt;/Year&gt;&lt;RecNum&gt;23&lt;/RecNum&gt;&lt;DisplayText&gt;(Weissman 2009)&lt;/DisplayText&gt;&lt;record&gt;&lt;rec-number&gt;23&lt;/rec-number&gt;&lt;foreign-keys&gt;&lt;key app="EN" db-id="tp225fswxt9vame0rpbpsxebfwfxdwz9x5tx" timestamp="1435544588"&gt;23&lt;/key&gt;&lt;/foreign-keys&gt;&lt;ref-type name="Journal Article"&gt;17&lt;/ref-type&gt;&lt;contributors&gt;&lt;authors&gt;&lt;author&gt;Weissman, D. E.&lt;/author&gt;&lt;/authors&gt;&lt;/contributors&gt;&lt;titles&gt;&lt;title&gt;Moral Distress in Palliative Care&lt;/title&gt;&lt;secondary-title&gt;Journal of Palliative Medicine&lt;/secondary-title&gt;&lt;alt-title&gt;J Palliat Med&lt;/alt-title&gt;&lt;/titles&gt;&lt;periodical&gt;&lt;full-title&gt;Journal of Palliative Medicine&lt;/full-title&gt;&lt;abbr-1&gt;J Palliat Med&lt;/abbr-1&gt;&lt;/periodical&gt;&lt;alt-periodical&gt;&lt;full-title&gt;Journal of Palliative Medicine&lt;/full-title&gt;&lt;abbr-1&gt;J Palliat Med&lt;/abbr-1&gt;&lt;/alt-periodical&gt;&lt;pages&gt;865-866&lt;/pages&gt;&lt;volume&gt;12&lt;/volume&gt;&lt;number&gt;10&lt;/number&gt;&lt;keywords&gt;&lt;keyword&gt;futile care&lt;/keyword&gt;&lt;/keywords&gt;&lt;dates&gt;&lt;year&gt;2009&lt;/year&gt;&lt;pub-dates&gt;&lt;date&gt;Oct&lt;/date&gt;&lt;/pub-dates&gt;&lt;/dates&gt;&lt;isbn&gt;1096-6218&lt;/isbn&gt;&lt;accession-num&gt;WOS:000270515000006&lt;/accession-num&gt;&lt;urls&gt;&lt;related-urls&gt;&lt;url&gt;&amp;lt;Go to ISI&amp;gt;://WOS:000270515000006&lt;/url&gt;&lt;/related-urls&gt;&lt;/urls&gt;&lt;electronic-resource-num&gt;DOI 10.1089/jpm.2009.9956&lt;/electronic-resource-num&gt;&lt;language&gt;English&lt;/language&gt;&lt;/record&gt;&lt;/Cite&gt;&lt;/EndNote&gt;</w:instrText>
      </w:r>
      <w:r>
        <w:rPr/>
        <w:fldChar w:fldCharType="separate"/>
      </w:r>
      <w:bookmarkStart w:id="26" w:name="__Fieldmark__22370_1677319845"/>
      <w:r>
        <w:rPr/>
      </w:r>
      <w:r>
        <w:rPr>
          <w:rFonts w:ascii="FreeSans" w:hAnsi="FreeSans"/>
        </w:rPr>
        <w:t>(</w:t>
      </w:r>
      <w:bookmarkStart w:id="27" w:name="__Fieldmark__17127_2090204579"/>
      <w:r>
        <w:rPr>
          <w:rFonts w:ascii="FreeSans" w:hAnsi="FreeSans"/>
        </w:rPr>
        <w:t>Weissman 2009)</w:t>
      </w:r>
      <w:r>
        <w:rPr/>
      </w:r>
      <w:r>
        <w:rPr/>
        <w:fldChar w:fldCharType="end"/>
      </w:r>
      <w:bookmarkEnd w:id="26"/>
      <w:bookmarkEnd w:id="27"/>
      <w:r>
        <w:rPr>
          <w:rFonts w:ascii="FreeSans" w:hAnsi="FreeSans"/>
        </w:rPr>
        <w:t xml:space="preserve">. Research on palliative care clinicians’ emotions has been primarily concerned with negotiating social interaction and giving voice to dying patients </w:t>
      </w:r>
      <w:r>
        <w:fldChar w:fldCharType="begin"/>
      </w:r>
      <w:r>
        <w:rPr/>
        <w:instrText>ADDIN EN.CITE &lt;EndNote&gt;&lt;Cite&gt;&lt;Author&gt;Li&lt;/Author&gt;&lt;Year&gt;2006&lt;/Year&gt;&lt;RecNum&gt;220&lt;/RecNum&gt;&lt;DisplayText&gt;(Li and Arber 2006)&lt;/DisplayText&gt;&lt;record&gt;&lt;rec-number&gt;220&lt;/rec-number&gt;&lt;foreign-keys&gt;&lt;key app="EN" db-id="tp225fswxt9vame0rpbpsxebfwfxdwz9x5tx" timestamp="1464317042"&gt;220&lt;/key&gt;&lt;/foreign-keys&gt;&lt;ref-type name="Journal Article"&gt;17&lt;/ref-type&gt;&lt;contributors&gt;&lt;authors&gt;&lt;author&gt;Li, Sarah&lt;/author&gt;&lt;author&gt;Arber, Anne&lt;/author&gt;&lt;/authors&gt;&lt;/contributors&gt;&lt;titles&gt;&lt;title&gt;The construction of troubled and credible patients: a study of emotion talk in palliative care settings&lt;/title&gt;&lt;secondary-title&gt;Qualitative health research&lt;/secondary-title&gt;&lt;/titles&gt;&lt;periodical&gt;&lt;full-title&gt;Qualitative health research&lt;/full-title&gt;&lt;/periodical&gt;&lt;pages&gt;27-46&lt;/pages&gt;&lt;volume&gt;16&lt;/volume&gt;&lt;number&gt;1&lt;/number&gt;&lt;dates&gt;&lt;year&gt;2006&lt;/year&gt;&lt;/dates&gt;&lt;isbn&gt;1049-7323&lt;/isbn&gt;&lt;urls&gt;&lt;/urls&gt;&lt;/record&gt;&lt;/Cite&gt;&lt;/EndNote&gt;</w:instrText>
      </w:r>
      <w:r>
        <w:rPr/>
        <w:fldChar w:fldCharType="separate"/>
      </w:r>
      <w:bookmarkStart w:id="28" w:name="__Fieldmark__22377_1677319845"/>
      <w:r>
        <w:rPr/>
      </w:r>
      <w:r>
        <w:rPr>
          <w:rFonts w:ascii="FreeSans" w:hAnsi="FreeSans"/>
        </w:rPr>
        <w:t>(</w:t>
      </w:r>
      <w:bookmarkStart w:id="29" w:name="__Fieldmark__17135_2090204579"/>
      <w:r>
        <w:rPr>
          <w:rFonts w:ascii="FreeSans" w:hAnsi="FreeSans"/>
        </w:rPr>
        <w:t>Li and Arber 2006)</w:t>
      </w:r>
      <w:r>
        <w:rPr/>
      </w:r>
      <w:r>
        <w:rPr/>
        <w:fldChar w:fldCharType="end"/>
      </w:r>
      <w:bookmarkEnd w:id="28"/>
      <w:bookmarkEnd w:id="29"/>
      <w:r>
        <w:rPr>
          <w:rFonts w:ascii="FreeSans" w:hAnsi="FreeSans"/>
        </w:rPr>
        <w:t xml:space="preserve"> and the emotional strain associated with moral distress </w:t>
      </w:r>
      <w:r>
        <w:fldChar w:fldCharType="begin"/>
      </w:r>
      <w:r>
        <w:rPr/>
        <w:instrText>ADDIN EN.CITE &lt;EndNote&gt;&lt;Cite&gt;&lt;Author&gt;Brazil&lt;/Author&gt;&lt;Year&gt;2010&lt;/Year&gt;&lt;RecNum&gt;219&lt;/RecNum&gt;&lt;DisplayText&gt;(Brazil, Kassalainen et al. 2010)&lt;/DisplayText&gt;&lt;record&gt;&lt;rec-number&gt;219&lt;/rec-number&gt;&lt;foreign-keys&gt;&lt;key app="EN" db-id="tp225fswxt9vame0rpbpsxebfwfxdwz9x5tx" timestamp="1464317017"&gt;219&lt;/key&gt;&lt;/foreign-keys&gt;&lt;ref-type name="Journal Article"&gt;17&lt;/ref-type&gt;&lt;contributors&gt;&lt;authors&gt;&lt;author&gt;Brazil, Kevin&lt;/author&gt;&lt;author&gt;Kassalainen, Sharon&lt;/author&gt;&lt;author&gt;Ploeg, Jenny&lt;/author&gt;&lt;author&gt;Marshall, Denise&lt;/author&gt;&lt;/authors&gt;&lt;/contributors&gt;&lt;titles&gt;&lt;title&gt;Moral distress experienced by health care professionals who provide home-based palliative care&lt;/title&gt;&lt;secondary-title&gt;Social science &amp;amp; medicine&lt;/secondary-title&gt;&lt;/titles&gt;&lt;periodical&gt;&lt;full-title&gt;Social science &amp;amp; medicine&lt;/full-title&gt;&lt;/periodical&gt;&lt;pages&gt;1687-1691&lt;/pages&gt;&lt;volume&gt;71&lt;/volume&gt;&lt;number&gt;9&lt;/number&gt;&lt;dates&gt;&lt;year&gt;2010&lt;/year&gt;&lt;/dates&gt;&lt;isbn&gt;0277-9536&lt;/isbn&gt;&lt;urls&gt;&lt;/urls&gt;&lt;/record&gt;&lt;/Cite&gt;&lt;/EndNote&gt;</w:instrText>
      </w:r>
      <w:r>
        <w:rPr/>
        <w:fldChar w:fldCharType="separate"/>
      </w:r>
      <w:bookmarkStart w:id="30" w:name="__Fieldmark__22384_1677319845"/>
      <w:r>
        <w:rPr/>
      </w:r>
      <w:r>
        <w:rPr>
          <w:rFonts w:ascii="FreeSans" w:hAnsi="FreeSans"/>
        </w:rPr>
        <w:t>(</w:t>
      </w:r>
      <w:bookmarkStart w:id="31" w:name="__Fieldmark__17140_2090204579"/>
      <w:r>
        <w:rPr>
          <w:rFonts w:ascii="FreeSans" w:hAnsi="FreeSans"/>
        </w:rPr>
        <w:t>Brazil, Kassalainen et al. 2010)</w:t>
      </w:r>
      <w:r>
        <w:rPr/>
      </w:r>
      <w:r>
        <w:rPr/>
        <w:fldChar w:fldCharType="end"/>
      </w:r>
      <w:bookmarkEnd w:id="30"/>
      <w:bookmarkEnd w:id="31"/>
      <w:r>
        <w:rPr>
          <w:rFonts w:ascii="FreeSans" w:hAnsi="FreeSans"/>
        </w:rPr>
        <w:t xml:space="preserve"> particularly around ceasing treatment </w:t>
      </w:r>
      <w:r>
        <w:fldChar w:fldCharType="begin"/>
      </w:r>
      <w:r>
        <w:rPr/>
        <w:instrText>ADDIN EN.CITE &lt;EndNote&gt;&lt;Cite&gt;&lt;Author&gt;Harrington&lt;/Author&gt;&lt;Year&gt;2008&lt;/Year&gt;&lt;RecNum&gt;218&lt;/RecNum&gt;&lt;DisplayText&gt;(Harrington and Smith 2008)&lt;/DisplayText&gt;&lt;record&gt;&lt;rec-number&gt;218&lt;/rec-number&gt;&lt;foreign-keys&gt;&lt;key app="EN" db-id="tp225fswxt9vame0rpbpsxebfwfxdwz9x5tx" timestamp="1464226840"&gt;218&lt;/key&gt;&lt;/foreign-keys&gt;&lt;ref-type name="Journal Article"&gt;17&lt;/ref-type&gt;&lt;contributors&gt;&lt;authors&gt;&lt;author&gt;Harrington, Sarah Elizabeth&lt;/author&gt;&lt;author&gt;Smith, Thomas J&lt;/author&gt;&lt;/authors&gt;&lt;/contributors&gt;&lt;titles&gt;&lt;title&gt;The role of chemotherapy at the end of life:“when is enough, enough?”&lt;/title&gt;&lt;secondary-title&gt;Jama&lt;/secondary-title&gt;&lt;/titles&gt;&lt;periodical&gt;&lt;full-title&gt;Jama&lt;/full-title&gt;&lt;/periodical&gt;&lt;pages&gt;2667-2678&lt;/pages&gt;&lt;volume&gt;299&lt;/volume&gt;&lt;number&gt;22&lt;/number&gt;&lt;dates&gt;&lt;year&gt;2008&lt;/year&gt;&lt;/dates&gt;&lt;isbn&gt;0098-7484&lt;/isbn&gt;&lt;urls&gt;&lt;/urls&gt;&lt;/record&gt;&lt;/Cite&gt;&lt;/EndNote&gt;</w:instrText>
      </w:r>
      <w:r>
        <w:rPr/>
        <w:fldChar w:fldCharType="separate"/>
      </w:r>
      <w:bookmarkStart w:id="32" w:name="__Fieldmark__22391_1677319845"/>
      <w:r>
        <w:rPr/>
      </w:r>
      <w:r>
        <w:rPr>
          <w:rFonts w:ascii="FreeSans" w:hAnsi="FreeSans"/>
        </w:rPr>
        <w:t>(</w:t>
      </w:r>
      <w:bookmarkStart w:id="33" w:name="__Fieldmark__17145_2090204579"/>
      <w:r>
        <w:rPr>
          <w:rFonts w:ascii="FreeSans" w:hAnsi="FreeSans"/>
        </w:rPr>
        <w:t>Harrington and Smith 2008)</w:t>
      </w:r>
      <w:r>
        <w:rPr/>
      </w:r>
      <w:r>
        <w:rPr/>
        <w:fldChar w:fldCharType="end"/>
      </w:r>
      <w:bookmarkEnd w:id="32"/>
      <w:bookmarkEnd w:id="33"/>
      <w:r>
        <w:rPr>
          <w:rFonts w:ascii="FreeSans" w:hAnsi="FreeSans"/>
        </w:rPr>
        <w:t xml:space="preserve">. </w:t>
      </w:r>
    </w:p>
    <w:p>
      <w:pPr>
        <w:pStyle w:val="TextBody"/>
        <w:spacing w:lineRule="auto" w:line="360"/>
        <w:rPr>
          <w:rFonts w:ascii="FreeSans" w:hAnsi="FreeSans"/>
        </w:rPr>
      </w:pPr>
      <w:r>
        <w:rPr>
          <w:rFonts w:ascii="FreeSans" w:hAnsi="FreeSans"/>
        </w:rPr>
        <w:t xml:space="preserve">The study took place in a Local Health District (LHD) in outer metropolitan Sydney. Within this LHD community-based palliative care involved a team of specialist nurses whose primary consultancy role supported generalist community health nurses (CHN), who case managed specific palliative care patients while they resided at home. The team was also supported by palliative medicine registrars/consultants based at Liverpool Hospital who attended both regular case review meetings at the centre and home visits when required, for instance to review medication regimes offering limited value. </w:t>
      </w:r>
    </w:p>
    <w:p>
      <w:pPr>
        <w:pStyle w:val="TextBody"/>
        <w:spacing w:lineRule="auto" w:line="360"/>
        <w:rPr>
          <w:rFonts w:ascii="FreeSans" w:hAnsi="FreeSans"/>
        </w:rPr>
      </w:pPr>
      <w:r>
        <w:rPr>
          <w:rFonts w:ascii="FreeSans" w:hAnsi="FreeSans"/>
        </w:rPr>
      </w:r>
    </w:p>
    <w:p>
      <w:pPr>
        <w:pStyle w:val="Heading2"/>
        <w:rPr>
          <w:b/>
          <w:b/>
          <w:i/>
          <w:i/>
        </w:rPr>
      </w:pPr>
      <w:r>
        <w:rPr/>
        <w:t>Critical incidents</w:t>
      </w:r>
    </w:p>
    <w:p>
      <w:pPr>
        <w:pStyle w:val="TextBody"/>
        <w:spacing w:lineRule="auto" w:line="360"/>
        <w:rPr/>
      </w:pPr>
      <w:r>
        <w:rPr>
          <w:rFonts w:ascii="FreeSans" w:hAnsi="FreeSans"/>
        </w:rPr>
        <w:t xml:space="preserve">To explore emotions in the context of knowledge translation, it was important to observe clinicians in practice. For this reason, critical incidents were the unit of analysis. Critical incidents here refer to incidents that are atypical to community-based palliative care, either positive or negatively valanced as defined by participants. Focusing on critical incidents enabled investigators to see how clinicians translated knowledge into practice during critical incidents in the context of community healthcare and subsequently examine the effects of emotion on decision-making, creative thinking, motivation and interactions. It also supports the conceptualisation of emotions as a process with a beginning, middle and end. The critical incident technique aided an understanding of both the clinician role and the interactions between clinicians, patients and peers </w:t>
      </w:r>
      <w:r>
        <w:fldChar w:fldCharType="begin"/>
      </w:r>
      <w:r>
        <w:rPr/>
        <w:instrText>ADDIN EN.CITE &lt;EndNote&gt;&lt;Cite&gt;&lt;Author&gt;Byrne&lt;/Author&gt;&lt;Year&gt;2001&lt;/Year&gt;&lt;RecNum&gt;192&lt;/RecNum&gt;&lt;DisplayText&gt;(Byrne 2001)&lt;/DisplayText&gt;&lt;record&gt;&lt;rec-number&gt;192&lt;/rec-number&gt;&lt;foreign-keys&gt;&lt;key app="EN" db-id="tp225fswxt9vame0rpbpsxebfwfxdwz9x5tx" timestamp="1460956280"&gt;192&lt;/key&gt;&lt;/foreign-keys&gt;&lt;ref-type name="Journal Article"&gt;17&lt;/ref-type&gt;&lt;contributors&gt;&lt;authors&gt;&lt;author&gt;Byrne, Michelle&lt;/author&gt;&lt;/authors&gt;&lt;/contributors&gt;&lt;titles&gt;&lt;title&gt;Critical incident technique as a qualitative research method&lt;/title&gt;&lt;secondary-title&gt;AORN journal&lt;/secondary-title&gt;&lt;/titles&gt;&lt;periodical&gt;&lt;full-title&gt;AORN journal&lt;/full-title&gt;&lt;/periodical&gt;&lt;pages&gt;536-539&lt;/pages&gt;&lt;volume&gt;74&lt;/volume&gt;&lt;number&gt;4&lt;/number&gt;&lt;dates&gt;&lt;year&gt;2001&lt;/year&gt;&lt;/dates&gt;&lt;isbn&gt;0001-2092&lt;/isbn&gt;&lt;urls&gt;&lt;/urls&gt;&lt;/record&gt;&lt;/Cite&gt;&lt;/EndNote&gt;</w:instrText>
      </w:r>
      <w:r>
        <w:rPr/>
        <w:fldChar w:fldCharType="separate"/>
      </w:r>
      <w:bookmarkStart w:id="34" w:name="__Fieldmark__22402_1677319845"/>
      <w:r>
        <w:rPr/>
      </w:r>
      <w:r>
        <w:rPr>
          <w:rFonts w:ascii="FreeSans" w:hAnsi="FreeSans"/>
        </w:rPr>
        <w:t>(</w:t>
      </w:r>
      <w:bookmarkStart w:id="35" w:name="__Fieldmark__17187_2090204579"/>
      <w:r>
        <w:rPr>
          <w:rFonts w:ascii="FreeSans" w:hAnsi="FreeSans"/>
        </w:rPr>
        <w:t>Byrne 2001)</w:t>
      </w:r>
      <w:r>
        <w:rPr/>
      </w:r>
      <w:r>
        <w:rPr/>
        <w:fldChar w:fldCharType="end"/>
      </w:r>
      <w:bookmarkEnd w:id="34"/>
      <w:bookmarkEnd w:id="35"/>
      <w:r>
        <w:rPr>
          <w:rFonts w:ascii="FreeSans" w:hAnsi="FreeSans"/>
        </w:rPr>
        <w:t>. The critical incident technique also provided an insight into the dynamic, continuously fluctuating system of meaningful experiences that made up participants practice.</w:t>
      </w:r>
    </w:p>
    <w:p>
      <w:pPr>
        <w:pStyle w:val="TextBody"/>
        <w:spacing w:lineRule="auto" w:line="360"/>
        <w:rPr>
          <w:rFonts w:ascii="FreeSans" w:hAnsi="FreeSans"/>
        </w:rPr>
      </w:pPr>
      <w:r>
        <w:rPr>
          <w:rFonts w:ascii="FreeSans" w:hAnsi="FreeSans"/>
        </w:rPr>
      </w:r>
    </w:p>
    <w:p>
      <w:pPr>
        <w:pStyle w:val="Heading2"/>
        <w:rPr>
          <w:b/>
          <w:b/>
          <w:i/>
          <w:i/>
          <w:szCs w:val="24"/>
        </w:rPr>
      </w:pPr>
      <w:r>
        <w:rPr/>
        <w:t>Shadowing and interviews</w:t>
      </w:r>
    </w:p>
    <w:p>
      <w:pPr>
        <w:pStyle w:val="TextBody"/>
        <w:spacing w:lineRule="auto" w:line="360"/>
        <w:rPr/>
      </w:pPr>
      <w:r>
        <w:rPr>
          <w:rFonts w:ascii="FreeSans" w:hAnsi="FreeSans"/>
        </w:rPr>
        <w:t xml:space="preserve">The study was initiated with  a prolonged period of familiarisation with the ‘narrative context’ to provide a ‘a convincing account of emotions – a proper appraisal of their significance’ </w:t>
      </w:r>
      <w:r>
        <w:fldChar w:fldCharType="begin"/>
      </w:r>
      <w:r>
        <w:rPr/>
        <w:instrText>ADDIN EN.CITE &lt;EndNote&gt;&lt;Cite&gt;&lt;Author&gt;Beatty&lt;/Author&gt;&lt;Year&gt;2010&lt;/Year&gt;&lt;RecNum&gt;162&lt;/RecNum&gt;&lt;Pages&gt;433&lt;/Pages&gt;&lt;DisplayText&gt;(Beatty 2010)&lt;/DisplayText&gt;&lt;record&gt;&lt;rec-number&gt;162&lt;/rec-number&gt;&lt;foreign-keys&gt;&lt;key app="EN" db-id="tp225fswxt9vame0rpbpsxebfwfxdwz9x5tx" timestamp="1455605644"&gt;162&lt;/key&gt;&lt;/foreign-keys&gt;&lt;ref-type name="Journal Article"&gt;17&lt;/ref-type&gt;&lt;contributors&gt;&lt;authors&gt;&lt;author&gt;Beatty, Andrew&lt;/author&gt;&lt;/authors&gt;&lt;/contributors&gt;&lt;titles&gt;&lt;title&gt;How did it feel for you? Emotion, narrative, and the limits of ethnography&lt;/title&gt;&lt;secondary-title&gt;American Anthropologist&lt;/secondary-title&gt;&lt;/titles&gt;&lt;periodical&gt;&lt;full-title&gt;American Anthropologist&lt;/full-title&gt;&lt;/periodical&gt;&lt;pages&gt;430-443&lt;/pages&gt;&lt;volume&gt;112&lt;/volume&gt;&lt;number&gt;3&lt;/number&gt;&lt;dates&gt;&lt;year&gt;2010&lt;/year&gt;&lt;/dates&gt;&lt;isbn&gt;1548-1433&lt;/isbn&gt;&lt;urls&gt;&lt;/urls&gt;&lt;/record&gt;&lt;/Cite&gt;&lt;/EndNote&gt;</w:instrText>
      </w:r>
      <w:r>
        <w:rPr/>
        <w:fldChar w:fldCharType="separate"/>
      </w:r>
      <w:bookmarkStart w:id="36" w:name="__Fieldmark__22412_1677319845"/>
      <w:r>
        <w:rPr/>
      </w:r>
      <w:r>
        <w:rPr>
          <w:rFonts w:ascii="FreeSans" w:hAnsi="FreeSans"/>
        </w:rPr>
        <w:t>(</w:t>
      </w:r>
      <w:bookmarkStart w:id="37" w:name="__Fieldmark__17201_2090204579"/>
      <w:r>
        <w:rPr>
          <w:rFonts w:ascii="FreeSans" w:hAnsi="FreeSans"/>
        </w:rPr>
        <w:t>Beatty 2010)</w:t>
      </w:r>
      <w:r>
        <w:rPr/>
      </w:r>
      <w:r>
        <w:rPr/>
        <w:fldChar w:fldCharType="end"/>
      </w:r>
      <w:bookmarkEnd w:id="36"/>
      <w:bookmarkEnd w:id="37"/>
      <w:r>
        <w:rPr>
          <w:rFonts w:ascii="FreeSans" w:hAnsi="FreeSans"/>
        </w:rPr>
        <w:t xml:space="preserve">. During this period, the investigator (MH) began shadowing clinicians to observe and document in field notes how they delivered healthcare; prepared case-files; and conferred with colleagues, patients, and carers. During shadowing, clinicians also identified atypical incidents that would prove analytically pertinent as critical incidents. Following a day of shadowing, participants were invited to participate in a retrospective, semi-structured interview either in person or via telephone to discuss critical incidents and the associated emotions. The aim of these interviews was to invite participants to reflect on the emotions experienced during these incidents and the effect of these on their thinking and actions. The interviews were interactional and interpretive in nature and semi-structured to encourage openness to emerging themes </w:t>
      </w:r>
      <w:r>
        <w:fldChar w:fldCharType="begin"/>
      </w:r>
      <w:r>
        <w:rPr/>
        <w:instrText>ADDIN EN.CITE &lt;EndNote&gt;&lt;Cite&gt;&lt;Author&gt;Sampson&lt;/Author&gt;&lt;Year&gt;2011&lt;/Year&gt;&lt;RecNum&gt;194&lt;/RecNum&gt;&lt;DisplayText&gt;(Sampson and Atkinson 2011)&lt;/DisplayText&gt;&lt;record&gt;&lt;rec-number&gt;194&lt;/rec-number&gt;&lt;foreign-keys&gt;&lt;key app="EN" db-id="tp225fswxt9vame0rpbpsxebfwfxdwz9x5tx" timestamp="1460956990"&gt;194&lt;/key&gt;&lt;/foreign-keys&gt;&lt;ref-type name="Journal Article"&gt;17&lt;/ref-type&gt;&lt;contributors&gt;&lt;authors&gt;&lt;author&gt;Sampson, Cathy&lt;/author&gt;&lt;author&gt;Atkinson, Paul&lt;/author&gt;&lt;/authors&gt;&lt;/contributors&gt;&lt;titles&gt;&lt;title&gt;Accounting for discovery: Genetic scientists’ narratives&lt;/title&gt;&lt;secondary-title&gt;Narrative Inquiry&lt;/secondary-title&gt;&lt;/titles&gt;&lt;periodical&gt;&lt;full-title&gt;Narrative Inquiry&lt;/full-title&gt;&lt;/periodical&gt;&lt;pages&gt;88-108&lt;/pages&gt;&lt;volume&gt;21&lt;/volume&gt;&lt;number&gt;1&lt;/number&gt;&lt;dates&gt;&lt;year&gt;2011&lt;/year&gt;&lt;/dates&gt;&lt;isbn&gt;1387-6740&lt;/isbn&gt;&lt;urls&gt;&lt;/urls&gt;&lt;/record&gt;&lt;/Cite&gt;&lt;/EndNote&gt;</w:instrText>
      </w:r>
      <w:r>
        <w:rPr/>
        <w:fldChar w:fldCharType="separate"/>
      </w:r>
      <w:bookmarkStart w:id="38" w:name="__Fieldmark__22419_1677319845"/>
      <w:r>
        <w:rPr/>
      </w:r>
      <w:r>
        <w:rPr>
          <w:rFonts w:ascii="FreeSans" w:hAnsi="FreeSans"/>
        </w:rPr>
        <w:t>(</w:t>
      </w:r>
      <w:bookmarkStart w:id="39" w:name="__Fieldmark__17232_2090204579"/>
      <w:r>
        <w:rPr>
          <w:rFonts w:ascii="FreeSans" w:hAnsi="FreeSans"/>
        </w:rPr>
        <w:t>Sampson and Atkinson 2011)</w:t>
      </w:r>
      <w:r>
        <w:rPr/>
      </w:r>
      <w:r>
        <w:rPr/>
        <w:fldChar w:fldCharType="end"/>
      </w:r>
      <w:bookmarkEnd w:id="38"/>
      <w:bookmarkEnd w:id="39"/>
      <w:r>
        <w:rPr>
          <w:rFonts w:ascii="FreeSans" w:hAnsi="FreeSans"/>
        </w:rPr>
        <w:t xml:space="preserve">. Interviews were recorded to aid recall along with documentation of observations and notes during and immediately after each interview including observations of non-verbal aspects of the interview, the physical setting and the personal interaction </w:t>
      </w:r>
      <w:r>
        <w:fldChar w:fldCharType="begin"/>
      </w:r>
      <w:r>
        <w:rPr/>
        <w:instrText>ADDIN EN.CITE &lt;EndNote&gt;&lt;Cite&gt;&lt;Author&gt;Hammersley&lt;/Author&gt;&lt;Year&gt;2007&lt;/Year&gt;&lt;RecNum&gt;195&lt;/RecNum&gt;&lt;DisplayText&gt;(Hammersley and Atkinson 2007)&lt;/DisplayText&gt;&lt;record&gt;&lt;rec-number&gt;195&lt;/rec-number&gt;&lt;foreign-keys&gt;&lt;key app="EN" db-id="tp225fswxt9vame0rpbpsxebfwfxdwz9x5tx" timestamp="1460957045"&gt;195&lt;/key&gt;&lt;/foreign-keys&gt;&lt;ref-type name="Book"&gt;6&lt;/ref-type&gt;&lt;contributors&gt;&lt;authors&gt;&lt;author&gt;Hammersley, Martyn&lt;/author&gt;&lt;author&gt;Atkinson, Paul&lt;/author&gt;&lt;/authors&gt;&lt;/contributors&gt;&lt;titles&gt;&lt;title&gt;Ethnography: Principles in practice&lt;/title&gt;&lt;/titles&gt;&lt;dates&gt;&lt;year&gt;2007&lt;/year&gt;&lt;/dates&gt;&lt;publisher&gt;Routledge&lt;/publisher&gt;&lt;isbn&gt;1134221878&lt;/isbn&gt;&lt;urls&gt;&lt;/urls&gt;&lt;/record&gt;&lt;/Cite&gt;&lt;/EndNote&gt;</w:instrText>
      </w:r>
      <w:r>
        <w:rPr/>
        <w:fldChar w:fldCharType="separate"/>
      </w:r>
      <w:bookmarkStart w:id="40" w:name="__Fieldmark__22426_1677319845"/>
      <w:r>
        <w:rPr/>
      </w:r>
      <w:r>
        <w:rPr>
          <w:rFonts w:ascii="FreeSans" w:hAnsi="FreeSans"/>
        </w:rPr>
        <w:t>(</w:t>
      </w:r>
      <w:bookmarkStart w:id="41" w:name="__Fieldmark__17237_2090204579"/>
      <w:r>
        <w:rPr>
          <w:rFonts w:ascii="FreeSans" w:hAnsi="FreeSans"/>
        </w:rPr>
        <w:t>Hammersley and Atkinson 2007)</w:t>
      </w:r>
      <w:r>
        <w:rPr/>
      </w:r>
      <w:r>
        <w:rPr/>
        <w:fldChar w:fldCharType="end"/>
      </w:r>
      <w:bookmarkEnd w:id="40"/>
      <w:bookmarkEnd w:id="41"/>
      <w:r>
        <w:rPr>
          <w:rFonts w:ascii="FreeSans" w:hAnsi="FreeSans"/>
        </w:rPr>
        <w:t xml:space="preserve">. In conjunction with the interview transcripts, field-notes were used to aid data interpretation and provide descriptive information. </w:t>
      </w:r>
    </w:p>
    <w:p>
      <w:pPr>
        <w:pStyle w:val="Heading2"/>
        <w:rPr>
          <w:b/>
          <w:b/>
          <w:i/>
          <w:i/>
          <w:szCs w:val="24"/>
        </w:rPr>
      </w:pPr>
      <w:r>
        <w:rPr/>
        <w:t xml:space="preserve">Journal </w:t>
      </w:r>
    </w:p>
    <w:p>
      <w:pPr>
        <w:pStyle w:val="TextBody"/>
        <w:spacing w:lineRule="auto" w:line="360"/>
        <w:rPr/>
      </w:pPr>
      <w:r>
        <w:rPr>
          <w:rFonts w:ascii="FreeSans" w:hAnsi="FreeSans"/>
        </w:rPr>
        <w:t xml:space="preserve">To provide the emotional context of the investigator’s subjectivity a reflexive journal was kept to better represent, legitimise, or call into question data </w:t>
      </w:r>
      <w:r>
        <w:fldChar w:fldCharType="begin"/>
      </w:r>
      <w:r>
        <w:rPr/>
        <w:instrText>ADDIN EN.CITE &lt;EndNote&gt;&lt;Cite&gt;&lt;Author&gt;Pillow&lt;/Author&gt;&lt;Year&gt;2003&lt;/Year&gt;&lt;RecNum&gt;126&lt;/RecNum&gt;&lt;DisplayText&gt;(Pillow 2003)&lt;/DisplayText&gt;&lt;record&gt;&lt;rec-number&gt;126&lt;/rec-number&gt;&lt;foreign-keys&gt;&lt;key app="EN" db-id="tp225fswxt9vame0rpbpsxebfwfxdwz9x5tx" timestamp="1449563340"&gt;126&lt;/key&gt;&lt;/foreign-keys&gt;&lt;ref-type name="Journal Article"&gt;17&lt;/ref-type&gt;&lt;contributors&gt;&lt;authors&gt;&lt;author&gt;Pillow, Wanda&lt;/author&gt;&lt;/authors&gt;&lt;/contributors&gt;&lt;titles&gt;&lt;title&gt;Confession, catharsis, or cure? Rethinking the uses of reflexivity as methodological power in qualitative research&lt;/title&gt;&lt;secondary-title&gt;International Journal of Qualitative Studies in Education&lt;/secondary-title&gt;&lt;/titles&gt;&lt;periodical&gt;&lt;full-title&gt;International Journal of Qualitative Studies in Education&lt;/full-title&gt;&lt;/periodical&gt;&lt;pages&gt;175-196&lt;/pages&gt;&lt;volume&gt;16&lt;/volume&gt;&lt;number&gt;2&lt;/number&gt;&lt;dates&gt;&lt;year&gt;2003&lt;/year&gt;&lt;/dates&gt;&lt;isbn&gt;0951-8398&lt;/isbn&gt;&lt;urls&gt;&lt;/urls&gt;&lt;/record&gt;&lt;/Cite&gt;&lt;/EndNote&gt;</w:instrText>
      </w:r>
      <w:r>
        <w:rPr/>
        <w:fldChar w:fldCharType="separate"/>
      </w:r>
      <w:bookmarkStart w:id="42" w:name="__Fieldmark__22436_1677319845"/>
      <w:r>
        <w:rPr/>
      </w:r>
      <w:r>
        <w:rPr>
          <w:rFonts w:ascii="FreeSans" w:hAnsi="FreeSans"/>
        </w:rPr>
        <w:t>(</w:t>
      </w:r>
      <w:bookmarkStart w:id="43" w:name="__Fieldmark__17246_2090204579"/>
      <w:r>
        <w:rPr>
          <w:rFonts w:ascii="FreeSans" w:hAnsi="FreeSans"/>
        </w:rPr>
        <w:t>Pillow 2003)</w:t>
      </w:r>
      <w:r>
        <w:rPr/>
      </w:r>
      <w:r>
        <w:rPr/>
        <w:fldChar w:fldCharType="end"/>
      </w:r>
      <w:bookmarkEnd w:id="42"/>
      <w:bookmarkEnd w:id="43"/>
      <w:r>
        <w:rPr>
          <w:rFonts w:ascii="FreeSans" w:hAnsi="FreeSans"/>
        </w:rPr>
        <w:t xml:space="preserve">. The investigators journaling detailed emotional responses to critical incidents during data collection. These emotional experiences were compared to the emotions experienced by the clinicians in similar situations </w:t>
      </w:r>
      <w:r>
        <w:fldChar w:fldCharType="begin"/>
      </w:r>
      <w:r>
        <w:rPr/>
        <w:instrText>ADDIN EN.CITE &lt;EndNote&gt;&lt;Cite&gt;&lt;Author&gt;Mitchell&lt;/Author&gt;&lt;Year&gt;1997&lt;/Year&gt;&lt;RecNum&gt;196&lt;/RecNum&gt;&lt;DisplayText&gt;(Mitchell 1997)&lt;/DisplayText&gt;&lt;record&gt;&lt;rec-number&gt;196&lt;/rec-number&gt;&lt;foreign-keys&gt;&lt;key app="EN" db-id="tp225fswxt9vame0rpbpsxebfwfxdwz9x5tx" timestamp="1460957676"&gt;196&lt;/key&gt;&lt;/foreign-keys&gt;&lt;ref-type name="Journal Article"&gt;17&lt;/ref-type&gt;&lt;contributors&gt;&lt;authors&gt;&lt;author&gt;Mitchell, Jon P&lt;/author&gt;&lt;/authors&gt;&lt;/contributors&gt;&lt;titles&gt;&lt;title&gt;A moment with Christ: The importance of feelings in the analysis of belief&lt;/title&gt;&lt;secondary-title&gt;Journal of the Royal Anthropological Institute&lt;/secondary-title&gt;&lt;/titles&gt;&lt;periodical&gt;&lt;full-title&gt;Journal of the Royal Anthropological Institute&lt;/full-title&gt;&lt;/periodical&gt;&lt;pages&gt;79-94&lt;/pages&gt;&lt;dates&gt;&lt;year&gt;1997&lt;/year&gt;&lt;/dates&gt;&lt;isbn&gt;1359-0987&lt;/isbn&gt;&lt;urls&gt;&lt;/urls&gt;&lt;/record&gt;&lt;/Cite&gt;&lt;/EndNote&gt;</w:instrText>
      </w:r>
      <w:r>
        <w:rPr/>
        <w:fldChar w:fldCharType="separate"/>
      </w:r>
      <w:bookmarkStart w:id="44" w:name="__Fieldmark__22443_1677319845"/>
      <w:r>
        <w:rPr/>
      </w:r>
      <w:r>
        <w:rPr>
          <w:rFonts w:ascii="FreeSans" w:hAnsi="FreeSans"/>
        </w:rPr>
        <w:t>(</w:t>
      </w:r>
      <w:bookmarkStart w:id="45" w:name="__Fieldmark__17257_2090204579"/>
      <w:r>
        <w:rPr>
          <w:rFonts w:ascii="FreeSans" w:hAnsi="FreeSans"/>
        </w:rPr>
        <w:t>Mitchell 1997)</w:t>
      </w:r>
      <w:r>
        <w:rPr/>
      </w:r>
      <w:r>
        <w:rPr/>
        <w:fldChar w:fldCharType="end"/>
      </w:r>
      <w:bookmarkEnd w:id="44"/>
      <w:bookmarkEnd w:id="45"/>
      <w:r>
        <w:rPr>
          <w:rFonts w:ascii="FreeSans" w:hAnsi="FreeSans"/>
        </w:rPr>
        <w:t xml:space="preserve">. An empathic mode (feeling with participants) became a prominent approach to MH’s writing in this context. He attempted to place himself within, for instance, the perspective of a clinician frustrated by the incompetence of a poor handover from the hospital or, overjoyed when discovering a patient’s pain has been brought under control. Feeling with the participants of the study enabled ‘conversation and the re-telling of experiences and confidences that constitute the data and direct its interpretation, analysis, and writing up’ </w:t>
      </w:r>
      <w:r>
        <w:fldChar w:fldCharType="begin"/>
      </w:r>
      <w:r>
        <w:rPr/>
        <w:instrText>ADDIN EN.CITE &lt;EndNote&gt;&lt;Cite&gt;&lt;Author&gt;Harding&lt;/Author&gt;&lt;Year&gt;2004&lt;/Year&gt;&lt;RecNum&gt;529&lt;/RecNum&gt;&lt;DisplayText&gt;(Harding and Pribram 2004)&lt;/DisplayText&gt;&lt;record&gt;&lt;rec-number&gt;529&lt;/rec-number&gt;&lt;foreign-keys&gt;&lt;key app="EN" db-id="tp225fswxt9vame0rpbpsxebfwfxdwz9x5tx" timestamp="1540275860"&gt;529&lt;/key&gt;&lt;/foreign-keys&gt;&lt;ref-type name="Journal Article"&gt;17&lt;/ref-type&gt;&lt;contributors&gt;&lt;authors&gt;&lt;author&gt;Harding, Jennifer&lt;/author&gt;&lt;author&gt;Pribram, E Deidre&lt;/author&gt;&lt;/authors&gt;&lt;/contributors&gt;&lt;titles&gt;&lt;title&gt;Losing our cool? Following Williams and Grossberg on emotions&lt;/title&gt;&lt;secondary-title&gt;Cultural Studies&lt;/secondary-title&gt;&lt;/titles&gt;&lt;periodical&gt;&lt;full-title&gt;Cultural Studies&lt;/full-title&gt;&lt;/periodical&gt;&lt;pages&gt;863-883&lt;/pages&gt;&lt;volume&gt;18&lt;/volume&gt;&lt;number&gt;6&lt;/number&gt;&lt;dates&gt;&lt;year&gt;2004&lt;/year&gt;&lt;/dates&gt;&lt;isbn&gt;0950-2386&lt;/isbn&gt;&lt;urls&gt;&lt;/urls&gt;&lt;/record&gt;&lt;/Cite&gt;&lt;/EndNote&gt;</w:instrText>
      </w:r>
      <w:r>
        <w:rPr/>
        <w:fldChar w:fldCharType="separate"/>
      </w:r>
      <w:bookmarkStart w:id="46" w:name="__Fieldmark__22450_1677319845"/>
      <w:r>
        <w:rPr/>
      </w:r>
      <w:r>
        <w:rPr>
          <w:rFonts w:ascii="FreeSans" w:hAnsi="FreeSans"/>
        </w:rPr>
        <w:t>(</w:t>
      </w:r>
      <w:bookmarkStart w:id="47" w:name="__Fieldmark__17276_2090204579"/>
      <w:r>
        <w:rPr>
          <w:rFonts w:ascii="FreeSans" w:hAnsi="FreeSans"/>
        </w:rPr>
        <w:t>Harding and Pribram 2004)</w:t>
      </w:r>
      <w:r>
        <w:rPr/>
      </w:r>
      <w:r>
        <w:rPr/>
        <w:fldChar w:fldCharType="end"/>
      </w:r>
      <w:bookmarkEnd w:id="46"/>
      <w:bookmarkEnd w:id="47"/>
      <w:r>
        <w:rPr>
          <w:rFonts w:ascii="FreeSans" w:hAnsi="FreeSans"/>
        </w:rPr>
        <w:t xml:space="preserve">. This approach involved MH acknowledging the limitations and ‘unreliability’ of his perspective, understanding each excerpt as a one of multiple selves, shaped by the emotional context of the moment. </w:t>
      </w:r>
    </w:p>
    <w:p>
      <w:pPr>
        <w:pStyle w:val="TextBody"/>
        <w:spacing w:lineRule="auto" w:line="360"/>
        <w:rPr>
          <w:rFonts w:ascii="FreeSans" w:hAnsi="FreeSans"/>
        </w:rPr>
      </w:pPr>
      <w:r>
        <w:rPr>
          <w:rFonts w:ascii="FreeSans" w:hAnsi="FreeSans"/>
        </w:rPr>
      </w:r>
    </w:p>
    <w:p>
      <w:pPr>
        <w:pStyle w:val="Heading1"/>
        <w:rPr>
          <w:b/>
          <w:b/>
          <w:szCs w:val="24"/>
        </w:rPr>
      </w:pPr>
      <w:r>
        <w:rPr/>
        <w:t>Analysis</w:t>
      </w:r>
    </w:p>
    <w:p>
      <w:pPr>
        <w:pStyle w:val="TextBody"/>
        <w:spacing w:lineRule="auto" w:line="360"/>
        <w:rPr/>
      </w:pPr>
      <w:r>
        <w:rPr>
          <w:rFonts w:ascii="FreeSans" w:hAnsi="FreeSans"/>
        </w:rPr>
        <w:t xml:space="preserve">Data analysis progressed in two mutually constitutive modes. Distinct and separate analytic methods were used to construct a more complete picture of emotion by compensating the limitations of each analytic method with the strengths of the other. This was founded on a view of emotion and knowledge data as both a co-construction between participants and investigator as well as a personal account of the research experience. Multiple disciplines and perspectives co-existing within the research enabled the exploration of the fluid and boundary-crossing nature of emotion in palliative care </w:t>
      </w:r>
      <w:r>
        <w:fldChar w:fldCharType="begin"/>
      </w:r>
      <w:r>
        <w:rPr/>
        <w:instrText>ADDIN EN.CITE &lt;EndNote&gt;&lt;Cite&gt;&lt;Author&gt;Holloway&lt;/Author&gt;&lt;Year&gt;2007&lt;/Year&gt;&lt;RecNum&gt;145&lt;/RecNum&gt;&lt;DisplayText&gt;(Holloway and Freshwater 2007)&lt;/DisplayText&gt;&lt;record&gt;&lt;rec-number&gt;145&lt;/rec-number&gt;&lt;foreign-keys&gt;&lt;key app="EN" db-id="tp225fswxt9vame0rpbpsxebfwfxdwz9x5tx" timestamp="1454304662"&gt;145&lt;/key&gt;&lt;/foreign-keys&gt;&lt;ref-type name="Journal Article"&gt;17&lt;/ref-type&gt;&lt;contributors&gt;&lt;authors&gt;&lt;author&gt;Holloway, Immy&lt;/author&gt;&lt;author&gt;Freshwater, Dawn&lt;/author&gt;&lt;/authors&gt;&lt;/contributors&gt;&lt;titles&gt;&lt;title&gt;Vulnerable story telling: Narrative research in nursing&lt;/title&gt;&lt;secondary-title&gt;Journal of Research in Nursing&lt;/secondary-title&gt;&lt;/titles&gt;&lt;periodical&gt;&lt;full-title&gt;Journal of Research in Nursing&lt;/full-title&gt;&lt;/periodical&gt;&lt;pages&gt;703-711&lt;/pages&gt;&lt;volume&gt;12&lt;/volume&gt;&lt;number&gt;6&lt;/number&gt;&lt;dates&gt;&lt;year&gt;2007&lt;/year&gt;&lt;/dates&gt;&lt;isbn&gt;1744-9871&lt;/isbn&gt;&lt;urls&gt;&lt;/urls&gt;&lt;/record&gt;&lt;/Cite&gt;&lt;/EndNote&gt;</w:instrText>
      </w:r>
      <w:r>
        <w:rPr/>
        <w:fldChar w:fldCharType="separate"/>
      </w:r>
      <w:bookmarkStart w:id="48" w:name="__Fieldmark__22460_1677319845"/>
      <w:r>
        <w:rPr/>
      </w:r>
      <w:r>
        <w:rPr>
          <w:rFonts w:ascii="FreeSans" w:hAnsi="FreeSans"/>
        </w:rPr>
        <w:t>(</w:t>
      </w:r>
      <w:bookmarkStart w:id="49" w:name="__Fieldmark__17315_2090204579"/>
      <w:r>
        <w:rPr>
          <w:rFonts w:ascii="FreeSans" w:hAnsi="FreeSans"/>
        </w:rPr>
        <w:t>Holloway and Freshwater 2007)</w:t>
      </w:r>
      <w:r>
        <w:rPr/>
      </w:r>
      <w:r>
        <w:rPr/>
        <w:fldChar w:fldCharType="end"/>
      </w:r>
      <w:bookmarkEnd w:id="48"/>
      <w:bookmarkEnd w:id="49"/>
      <w:r>
        <w:rPr>
          <w:rFonts w:ascii="FreeSans" w:hAnsi="FreeSans"/>
        </w:rPr>
        <w:t xml:space="preserve">. Ahmed (2004) claimed ‘it is through the movement of emotions that the very distinction between inside and outside, or the individual and social, is effected in the first place’ (p.8). It was important to attend to both the stories, performances, language and texts providing data for a social production of emotion as well as the intensification of feeling in texts and the investigators own emotional impressions. The modes are described as two phases; however, the analysis was far from linear and both occurred in tandem, with analytic ‘openings’ presented by exploring each of the different modes at different times. </w:t>
      </w:r>
    </w:p>
    <w:p>
      <w:pPr>
        <w:pStyle w:val="TextBody"/>
        <w:spacing w:lineRule="auto" w:line="360"/>
        <w:rPr>
          <w:rFonts w:ascii="FreeSans" w:hAnsi="FreeSans"/>
        </w:rPr>
      </w:pPr>
      <w:r>
        <w:rPr>
          <w:rFonts w:ascii="FreeSans" w:hAnsi="FreeSans"/>
        </w:rPr>
      </w:r>
    </w:p>
    <w:p>
      <w:pPr>
        <w:pStyle w:val="Heading2"/>
        <w:rPr>
          <w:b/>
          <w:b/>
        </w:rPr>
      </w:pPr>
      <w:r>
        <w:rPr/>
        <w:t>Narrative analysis</w:t>
      </w:r>
    </w:p>
    <w:p>
      <w:pPr>
        <w:pStyle w:val="TextBody"/>
        <w:spacing w:lineRule="auto" w:line="360"/>
        <w:rPr/>
      </w:pPr>
      <w:r>
        <w:rPr>
          <w:rFonts w:ascii="FreeSans" w:hAnsi="FreeSans"/>
        </w:rPr>
        <w:t xml:space="preserve">The initial phase of analysis followed a thematic model of narrative analysis that emphasised text content </w:t>
      </w:r>
      <w:r>
        <w:fldChar w:fldCharType="begin"/>
      </w:r>
      <w:r>
        <w:rPr/>
        <w:instrText>ADDIN EN.CITE &lt;EndNote&gt;&lt;Cite&gt;&lt;Author&gt;Riessman&lt;/Author&gt;&lt;Year&gt;2005&lt;/Year&gt;&lt;RecNum&gt;194&lt;/RecNum&gt;&lt;DisplayText&gt;(Riessman 2005)&lt;/DisplayText&gt;&lt;record&gt;&lt;rec-number&gt;194&lt;/rec-number&gt;&lt;foreign-keys&gt;&lt;key app="EN" db-id="s5fx2pts9xfx0ye5as1vf22yaftedsr05rz9" timestamp="1525232673"&gt;194&lt;/key&gt;&lt;/foreign-keys&gt;&lt;ref-type name="Book Section"&gt;5&lt;/ref-type&gt;&lt;contributors&gt;&lt;authors&gt;&lt;author&gt;Riessman, Catherine Kohler&lt;/author&gt;&lt;/authors&gt;&lt;/contributors&gt;&lt;titles&gt;&lt;title&gt;Narrative analysis&lt;/title&gt;&lt;/titles&gt;&lt;dates&gt;&lt;year&gt;2005&lt;/year&gt;&lt;/dates&gt;&lt;publisher&gt;University of Huddersfield&lt;/publisher&gt;&lt;urls&gt;&lt;/urls&gt;&lt;/record&gt;&lt;/Cite&gt;&lt;/EndNote&gt;</w:instrText>
      </w:r>
      <w:r>
        <w:rPr/>
        <w:fldChar w:fldCharType="separate"/>
      </w:r>
      <w:bookmarkStart w:id="50" w:name="__Fieldmark__22470_1677319845"/>
      <w:r>
        <w:rPr/>
      </w:r>
      <w:r>
        <w:rPr>
          <w:rFonts w:ascii="FreeSans" w:hAnsi="FreeSans"/>
        </w:rPr>
        <w:t>(</w:t>
      </w:r>
      <w:bookmarkStart w:id="51" w:name="__Fieldmark__17345_2090204579"/>
      <w:r>
        <w:rPr>
          <w:rFonts w:ascii="FreeSans" w:hAnsi="FreeSans"/>
        </w:rPr>
        <w:t>Riessman 2005)</w:t>
      </w:r>
      <w:r>
        <w:rPr/>
      </w:r>
      <w:r>
        <w:rPr/>
        <w:fldChar w:fldCharType="end"/>
      </w:r>
      <w:bookmarkEnd w:id="50"/>
      <w:bookmarkEnd w:id="51"/>
      <w:r>
        <w:rPr>
          <w:rFonts w:ascii="FreeSans" w:hAnsi="FreeSans"/>
        </w:rPr>
        <w:t xml:space="preserve">. The storylines or plot of both individual and shared experiences of emotion in these experiences became important in this analysis </w:t>
      </w:r>
      <w:r>
        <w:fldChar w:fldCharType="begin"/>
      </w:r>
      <w:r>
        <w:rPr/>
        <w:instrText>ADDIN EN.CITE &lt;EndNote&gt;&lt;Cite&gt;&lt;Author&gt;Holloway&lt;/Author&gt;&lt;Year&gt;2007&lt;/Year&gt;&lt;RecNum&gt;145&lt;/RecNum&gt;&lt;DisplayText&gt;(Holloway and Freshwater 2007)&lt;/DisplayText&gt;&lt;record&gt;&lt;rec-number&gt;145&lt;/rec-number&gt;&lt;foreign-keys&gt;&lt;key app="EN" db-id="tp225fswxt9vame0rpbpsxebfwfxdwz9x5tx" timestamp="1454304662"&gt;145&lt;/key&gt;&lt;/foreign-keys&gt;&lt;ref-type name="Journal Article"&gt;17&lt;/ref-type&gt;&lt;contributors&gt;&lt;authors&gt;&lt;author&gt;Holloway, Immy&lt;/author&gt;&lt;author&gt;Freshwater, Dawn&lt;/author&gt;&lt;/authors&gt;&lt;/contributors&gt;&lt;titles&gt;&lt;title&gt;Vulnerable story telling: Narrative research in nursing&lt;/title&gt;&lt;secondary-title&gt;Journal of Research in Nursing&lt;/secondary-title&gt;&lt;/titles&gt;&lt;periodical&gt;&lt;full-title&gt;Journal of Research in Nursing&lt;/full-title&gt;&lt;/periodical&gt;&lt;pages&gt;703-711&lt;/pages&gt;&lt;volume&gt;12&lt;/volume&gt;&lt;number&gt;6&lt;/number&gt;&lt;dates&gt;&lt;year&gt;2007&lt;/year&gt;&lt;/dates&gt;&lt;isbn&gt;1744-9871&lt;/isbn&gt;&lt;urls&gt;&lt;/urls&gt;&lt;/record&gt;&lt;/Cite&gt;&lt;/EndNote&gt;</w:instrText>
      </w:r>
      <w:r>
        <w:rPr/>
        <w:fldChar w:fldCharType="separate"/>
      </w:r>
      <w:bookmarkStart w:id="52" w:name="__Fieldmark__22477_1677319845"/>
      <w:r>
        <w:rPr/>
      </w:r>
      <w:r>
        <w:rPr>
          <w:rFonts w:ascii="FreeSans" w:hAnsi="FreeSans"/>
        </w:rPr>
        <w:t>(</w:t>
      </w:r>
      <w:bookmarkStart w:id="53" w:name="__Fieldmark__17356_2090204579"/>
      <w:r>
        <w:rPr>
          <w:rFonts w:ascii="FreeSans" w:hAnsi="FreeSans"/>
        </w:rPr>
        <w:t>Holloway and Freshwater 2007)</w:t>
      </w:r>
      <w:r>
        <w:rPr/>
      </w:r>
      <w:r>
        <w:rPr/>
        <w:fldChar w:fldCharType="end"/>
      </w:r>
      <w:bookmarkEnd w:id="52"/>
      <w:bookmarkEnd w:id="53"/>
      <w:r>
        <w:rPr>
          <w:rFonts w:ascii="FreeSans" w:hAnsi="FreeSans"/>
        </w:rPr>
        <w:t xml:space="preserve">. The transcripts, journal entries and field notes provided the material to form typical or normative stories around central conceptual groupings related to emotions and knowledge translation, which were consistently revisited and revised as analysis progressed. Narratives were formed both to encapsulate critical incidents that occurred during fieldwork, and to convey the ‘complex constellations of beliefs, values, emotions, intentions, identities, attitudes, and motivations’ </w:t>
      </w:r>
      <w:r>
        <w:fldChar w:fldCharType="begin"/>
      </w:r>
      <w:r>
        <w:rPr/>
        <w:instrText>ADDIN EN.CITE &lt;EndNote&gt;&lt;Cite&gt;&lt;Author&gt;Vindrola-Padros&lt;/Author&gt;&lt;Year&gt;2014&lt;/Year&gt;&lt;RecNum&gt;185&lt;/RecNum&gt;&lt;Pages&gt;1&lt;/Pages&gt;&lt;DisplayText&gt;(Vindrola-Padros and Johnson 2014)&lt;/DisplayText&gt;&lt;record&gt;&lt;rec-number&gt;185&lt;/rec-number&gt;&lt;foreign-keys&gt;&lt;key app="EN" db-id="s5fx2pts9xfx0ye5as1vf22yaftedsr05rz9" timestamp="1524716636"&gt;185&lt;/key&gt;&lt;/foreign-keys&gt;&lt;ref-type name="Journal Article"&gt;17&lt;/ref-type&gt;&lt;contributors&gt;&lt;authors&gt;&lt;author&gt;Vindrola-Padros, Cecilia&lt;/author&gt;&lt;author&gt;Johnson, Ginger A&lt;/author&gt;&lt;/authors&gt;&lt;/contributors&gt;&lt;titles&gt;&lt;title&gt;The narrated, nonnarrated, and the disnarrated: conceptual tools for analyzing narratives in health services research&lt;/title&gt;&lt;secondary-title&gt;Qualitative health research&lt;/secondary-title&gt;&lt;/titles&gt;&lt;periodical&gt;&lt;full-title&gt;Qualitative health research&lt;/full-title&gt;&lt;/periodical&gt;&lt;pages&gt;1603-1611&lt;/pages&gt;&lt;volume&gt;24&lt;/volume&gt;&lt;number&gt;11&lt;/number&gt;&lt;dates&gt;&lt;year&gt;2014&lt;/year&gt;&lt;/dates&gt;&lt;isbn&gt;1049-7323&lt;/isbn&gt;&lt;urls&gt;&lt;/urls&gt;&lt;/record&gt;&lt;/Cite&gt;&lt;/EndNote&gt;</w:instrText>
      </w:r>
      <w:r>
        <w:rPr/>
        <w:fldChar w:fldCharType="separate"/>
      </w:r>
      <w:bookmarkStart w:id="54" w:name="__Fieldmark__22484_1677319845"/>
      <w:r>
        <w:rPr/>
      </w:r>
      <w:r>
        <w:rPr>
          <w:rFonts w:ascii="FreeSans" w:hAnsi="FreeSans"/>
        </w:rPr>
        <w:t>(</w:t>
      </w:r>
      <w:bookmarkStart w:id="55" w:name="__Fieldmark__17376_2090204579"/>
      <w:r>
        <w:rPr>
          <w:rFonts w:ascii="FreeSans" w:hAnsi="FreeSans"/>
        </w:rPr>
        <w:t>Vindrola-Padros and Johnson 2014)</w:t>
      </w:r>
      <w:r>
        <w:rPr/>
      </w:r>
      <w:r>
        <w:rPr/>
        <w:fldChar w:fldCharType="end"/>
      </w:r>
      <w:bookmarkEnd w:id="54"/>
      <w:bookmarkEnd w:id="55"/>
      <w:r>
        <w:rPr>
          <w:rFonts w:ascii="FreeSans" w:hAnsi="FreeSans"/>
        </w:rPr>
        <w:t xml:space="preserve"> that clinicians used to express themselves. In this way the narratives were pluralistic, attempting to represent moments in the research that were deemed important as well as the stories expressed by clinicians when discussing their actions and emotions.</w:t>
      </w:r>
    </w:p>
    <w:p>
      <w:pPr>
        <w:pStyle w:val="TextBody"/>
        <w:spacing w:lineRule="auto" w:line="360"/>
        <w:rPr>
          <w:szCs w:val="24"/>
        </w:rPr>
      </w:pPr>
      <w:r>
        <w:rPr>
          <w:rFonts w:ascii="FreeSans" w:hAnsi="FreeSans"/>
        </w:rPr>
        <w:t xml:space="preserve">To enhance the richness of the data, the critical incidents that appeared to MH as more emotion-provoking for participants were selected in the first instance to be organised and analysed. These were instances where participants had visible emotional reactions or spoke about experiencing particularly intense emotions during or afterwards. Additionally, the autoethnographic journaling of MH’s emotions provided other incidents to focus on.  Less emotion-provoking experiences were a subsequent focus to avoid the potential to arbitrarily dictate what was or was not ‘emotion-provoking’. The incidents and their effects were rewritten into a narrative structure, focusing on the characters involved and the temporal structure of the events with personal insights included based on journal entries. Re-ordering critical incidents into coherent and legible stories via narrative analytic techniques provided an insight into the meaningful experiences related to community-based palliative care. These re-storied memos were openly coded with codes related to practices and emotions. Examples of codes included the naming of emotions such as joy, anger, and grief and the encapsulation of practices involved in palliative care. Analytic memos were created to explore and define each of the categories developed and connected with the second layer of analysis. </w:t>
      </w:r>
    </w:p>
    <w:p>
      <w:pPr>
        <w:pStyle w:val="TextBody"/>
        <w:spacing w:lineRule="auto" w:line="360"/>
        <w:rPr>
          <w:rFonts w:ascii="FreeSans" w:hAnsi="FreeSans"/>
        </w:rPr>
      </w:pPr>
      <w:r>
        <w:rPr>
          <w:rFonts w:ascii="FreeSans" w:hAnsi="FreeSans"/>
        </w:rPr>
        <w:t xml:space="preserve">The narrative analysis produced a series of vignettes, storying key incidents during data collection. The vignettes offered different narratives of knowledge-in-practice, the emotional foundations for practice, and the associated implications. Occasionally interspersed in these vignettes were descriptions of the investigator’s subjective personal experience in relation to the incidents. These were included to situate the investigator’s observations within the personal emotional and relational context of data collection to ‘write [himself] as unreliable and contradictory narrator’ (Gannon, 2006, p.493), attending to ‘the multiple selves that are and have been in discontinuous fragments informed by memory… and… other people’. </w:t>
      </w:r>
    </w:p>
    <w:p>
      <w:pPr>
        <w:pStyle w:val="TextBody"/>
        <w:spacing w:lineRule="auto" w:line="360"/>
        <w:rPr>
          <w:rFonts w:ascii="FreeSans" w:hAnsi="FreeSans"/>
        </w:rPr>
      </w:pPr>
      <w:r>
        <w:rPr>
          <w:rFonts w:ascii="FreeSans" w:hAnsi="FreeSans"/>
        </w:rPr>
        <w:t xml:space="preserve">The narrative analysis helped to construct a unique insight into the emotions involved in community-based palliative care. For instance, examining an emotionally destabilising incident involving a patient’s death provoked multiple emotional resonances within the setting and beyond. The constructed narrative helped to elucidate an undercurrent of confusion and despair at a perceived systematic failure to attend to the needs of carers and family members when a patient has died. The emotional nature of the experience also represented a culmination from the similar experiences the participant had been involved in informing the participants instincts in her practice. </w:t>
      </w:r>
    </w:p>
    <w:p>
      <w:pPr>
        <w:pStyle w:val="TextBody"/>
        <w:spacing w:lineRule="auto" w:line="360"/>
        <w:rPr>
          <w:rFonts w:ascii="FreeSans" w:hAnsi="FreeSans"/>
        </w:rPr>
      </w:pPr>
      <w:r>
        <w:rPr>
          <w:rFonts w:ascii="FreeSans" w:hAnsi="FreeSans"/>
        </w:rPr>
      </w:r>
    </w:p>
    <w:p>
      <w:pPr>
        <w:pStyle w:val="Heading2"/>
        <w:rPr>
          <w:b/>
          <w:b/>
        </w:rPr>
      </w:pPr>
      <w:r>
        <w:rPr/>
        <w:t xml:space="preserve">Discrete analysis </w:t>
      </w:r>
    </w:p>
    <w:p>
      <w:pPr>
        <w:pStyle w:val="TextBody"/>
        <w:spacing w:lineRule="auto" w:line="360"/>
        <w:rPr/>
      </w:pPr>
      <w:r>
        <w:rPr>
          <w:rFonts w:ascii="FreeSans" w:hAnsi="FreeSans"/>
        </w:rPr>
        <w:t xml:space="preserve">This style of narrative analysis appeared to produce a coherent view of emotions as reaction to stimuli, potentially shaping future actions or practices. But it was important to look beyond this neat frame of narrative analysis to ‘undo’ the tidy narratives and examine political, social and cultural factors shaping emotions. To examine emotions as powerful social drivers, shaping individual and collective bodies, the second phase of analysis focused on the transient and transferring properties of emotion. In her analysis of emotions, Ahmed made apparent ‘the movement and attachment implicit in emotion’ </w:t>
      </w:r>
      <w:r>
        <w:fldChar w:fldCharType="begin"/>
      </w:r>
      <w:r>
        <w:rPr/>
        <w:instrText>ADDIN EN.CITE &lt;EndNote&gt;&lt;Cite&gt;&lt;Author&gt;Ahmed&lt;/Author&gt;&lt;Year&gt;2004&lt;/Year&gt;&lt;RecNum&gt;183&lt;/RecNum&gt;&lt;Pages&gt;27&lt;/Pages&gt;&lt;DisplayText&gt;(Ahmed 2004)&lt;/DisplayText&gt;&lt;record&gt;&lt;rec-number&gt;183&lt;/rec-number&gt;&lt;foreign-keys&gt;&lt;key app="EN" db-id="s5fx2pts9xfx0ye5as1vf22yaftedsr05rz9" timestamp="1520477056"&gt;183&lt;/key&gt;&lt;/foreign-keys&gt;&lt;ref-type name="Journal Article"&gt;17&lt;/ref-type&gt;&lt;contributors&gt;&lt;authors&gt;&lt;author&gt;Ahmed, Sara&lt;/author&gt;&lt;/authors&gt;&lt;/contributors&gt;&lt;titles&gt;&lt;title&gt;Collective feelings: Or, the impressions left by others&lt;/title&gt;&lt;secondary-title&gt;Theory, culture &amp;amp; society&lt;/secondary-title&gt;&lt;/titles&gt;&lt;periodical&gt;&lt;full-title&gt;Theory, culture &amp;amp; society&lt;/full-title&gt;&lt;/periodical&gt;&lt;pages&gt;25-42&lt;/pages&gt;&lt;volume&gt;21&lt;/volume&gt;&lt;number&gt;2&lt;/number&gt;&lt;dates&gt;&lt;year&gt;2004&lt;/year&gt;&lt;/dates&gt;&lt;isbn&gt;0263-2764&lt;/isbn&gt;&lt;urls&gt;&lt;/urls&gt;&lt;/record&gt;&lt;/Cite&gt;&lt;/EndNote&gt;</w:instrText>
      </w:r>
      <w:r>
        <w:rPr/>
        <w:fldChar w:fldCharType="separate"/>
      </w:r>
      <w:bookmarkStart w:id="56" w:name="__Fieldmark__22497_1677319845"/>
      <w:r>
        <w:rPr/>
      </w:r>
      <w:r>
        <w:rPr>
          <w:rFonts w:ascii="FreeSans" w:hAnsi="FreeSans"/>
        </w:rPr>
        <w:t>(</w:t>
      </w:r>
      <w:bookmarkStart w:id="57" w:name="__Fieldmark__17483_2090204579"/>
      <w:r>
        <w:rPr>
          <w:rFonts w:ascii="FreeSans" w:hAnsi="FreeSans"/>
        </w:rPr>
        <w:t>Ahmed 2004)</w:t>
      </w:r>
      <w:r>
        <w:rPr/>
      </w:r>
      <w:r>
        <w:rPr/>
        <w:fldChar w:fldCharType="end"/>
      </w:r>
      <w:bookmarkEnd w:id="56"/>
      <w:bookmarkEnd w:id="57"/>
      <w:r>
        <w:rPr>
          <w:rFonts w:ascii="FreeSans" w:hAnsi="FreeSans"/>
        </w:rPr>
        <w:t xml:space="preserve">. She cites the Latin etymology of the word ‘emotion’; emovere meaning ‘to move’ or ‘to move out’ signifying the movement inherent in the understanding of the word. </w:t>
      </w:r>
    </w:p>
    <w:p>
      <w:pPr>
        <w:pStyle w:val="TextBody"/>
        <w:spacing w:lineRule="auto" w:line="360"/>
        <w:rPr/>
      </w:pPr>
      <w:r>
        <w:rPr>
          <w:rFonts w:ascii="FreeSans" w:hAnsi="FreeSans"/>
        </w:rPr>
        <w:t xml:space="preserve">It is through the intensification of feeling that bodies and worlds materialize and take shape, or that the effect of boundary, fixity and surface is produced. Feelings are not about the inside getting out or the outside getting in, but that they ‘affect’ the very distinction of inside and outside in the first place. </w:t>
      </w:r>
      <w:r>
        <w:fldChar w:fldCharType="begin"/>
      </w:r>
      <w:r>
        <w:rPr/>
        <w:instrText>ADDIN EN.CITE &lt;EndNote&gt;&lt;Cite&gt;&lt;Author&gt;Ahmed&lt;/Author&gt;&lt;Year&gt;2004&lt;/Year&gt;&lt;RecNum&gt;183&lt;/RecNum&gt;&lt;Pages&gt;29&lt;/Pages&gt;&lt;DisplayText&gt;(Ahmed 2004)&lt;/DisplayText&gt;&lt;record&gt;&lt;rec-number&gt;183&lt;/rec-number&gt;&lt;foreign-keys&gt;&lt;key app="EN" db-id="s5fx2pts9xfx0ye5as1vf22yaftedsr05rz9" timestamp="1520477056"&gt;183&lt;/key&gt;&lt;/foreign-keys&gt;&lt;ref-type name="Journal Article"&gt;17&lt;/ref-type&gt;&lt;contributors&gt;&lt;authors&gt;&lt;author&gt;Ahmed, Sara&lt;/author&gt;&lt;/authors&gt;&lt;/contributors&gt;&lt;titles&gt;&lt;title&gt;Collective feelings: Or, the impressions left by others&lt;/title&gt;&lt;secondary-title&gt;Theory, culture &amp;amp; society&lt;/secondary-title&gt;&lt;/titles&gt;&lt;periodical&gt;&lt;full-title&gt;Theory, culture &amp;amp; society&lt;/full-title&gt;&lt;/periodical&gt;&lt;pages&gt;25-42&lt;/pages&gt;&lt;volume&gt;21&lt;/volume&gt;&lt;number&gt;2&lt;/number&gt;&lt;dates&gt;&lt;year&gt;2004&lt;/year&gt;&lt;/dates&gt;&lt;isbn&gt;0263-2764&lt;/isbn&gt;&lt;urls&gt;&lt;/urls&gt;&lt;/record&gt;&lt;/Cite&gt;&lt;/EndNote&gt;</w:instrText>
      </w:r>
      <w:r>
        <w:rPr/>
        <w:fldChar w:fldCharType="separate"/>
      </w:r>
      <w:bookmarkStart w:id="58" w:name="__Fieldmark__22506_1677319845"/>
      <w:r>
        <w:rPr/>
      </w:r>
      <w:r>
        <w:rPr>
          <w:rFonts w:ascii="FreeSans" w:hAnsi="FreeSans"/>
        </w:rPr>
        <w:t>(</w:t>
      </w:r>
      <w:bookmarkStart w:id="59" w:name="__Fieldmark__17492_2090204579"/>
      <w:r>
        <w:rPr>
          <w:rFonts w:ascii="FreeSans" w:hAnsi="FreeSans"/>
        </w:rPr>
        <w:t>Ahmed 2004)</w:t>
      </w:r>
      <w:r>
        <w:rPr/>
      </w:r>
      <w:r>
        <w:rPr/>
        <w:fldChar w:fldCharType="end"/>
      </w:r>
      <w:bookmarkEnd w:id="58"/>
      <w:bookmarkEnd w:id="59"/>
    </w:p>
    <w:p>
      <w:pPr>
        <w:pStyle w:val="TextBody"/>
        <w:spacing w:lineRule="auto" w:line="360"/>
        <w:rPr/>
      </w:pPr>
      <w:r>
        <w:rPr>
          <w:rFonts w:ascii="FreeSans" w:hAnsi="FreeSans"/>
        </w:rPr>
        <w:t xml:space="preserve">This component of the analysis involved interrogating interview data to determine what emotions were permitted and what were prohibited through moral norms and explicit social values </w:t>
      </w:r>
      <w:r>
        <w:fldChar w:fldCharType="begin"/>
      </w:r>
      <w:r>
        <w:rPr/>
        <w:instrText>ADDIN EN.CITE &lt;EndNote&gt;&lt;Cite&gt;&lt;Author&gt;Zembylas&lt;/Author&gt;&lt;Year&gt;2005&lt;/Year&gt;&lt;RecNum&gt;199&lt;/RecNum&gt;&lt;DisplayText&gt;(Zembylas 2005)&lt;/DisplayText&gt;&lt;record&gt;&lt;rec-number&gt;199&lt;/rec-number&gt;&lt;foreign-keys&gt;&lt;key app="EN" db-id="s5fx2pts9xfx0ye5as1vf22yaftedsr05rz9" timestamp="1526006621"&gt;199&lt;/key&gt;&lt;/foreign-keys&gt;&lt;ref-type name="Journal Article"&gt;17&lt;/ref-type&gt;&lt;contributors&gt;&lt;authors&gt;&lt;author&gt;Zembylas, Michalinos&lt;/author&gt;&lt;/authors&gt;&lt;/contributors&gt;&lt;titles&gt;&lt;title&gt;Discursive practices, genealogies, and emotional rules: A poststructuralist view on emotion and identity in teaching&lt;/title&gt;&lt;secondary-title&gt;Teaching and teacher education&lt;/secondary-title&gt;&lt;/titles&gt;&lt;periodical&gt;&lt;full-title&gt;Teaching and teacher education&lt;/full-title&gt;&lt;/periodical&gt;&lt;pages&gt;935-948&lt;/pages&gt;&lt;volume&gt;21&lt;/volume&gt;&lt;number&gt;8&lt;/number&gt;&lt;dates&gt;&lt;year&gt;2005&lt;/year&gt;&lt;/dates&gt;&lt;isbn&gt;0742-051X&lt;/isbn&gt;&lt;urls&gt;&lt;/urls&gt;&lt;/record&gt;&lt;/Cite&gt;&lt;/EndNote&gt;</w:instrText>
      </w:r>
      <w:r>
        <w:rPr/>
        <w:fldChar w:fldCharType="separate"/>
      </w:r>
      <w:bookmarkStart w:id="60" w:name="__Fieldmark__22514_1677319845"/>
      <w:r>
        <w:rPr/>
      </w:r>
      <w:r>
        <w:rPr>
          <w:rFonts w:ascii="FreeSans" w:hAnsi="FreeSans"/>
        </w:rPr>
        <w:t>(</w:t>
      </w:r>
      <w:bookmarkStart w:id="61" w:name="__Fieldmark__17503_2090204579"/>
      <w:r>
        <w:rPr>
          <w:rFonts w:ascii="FreeSans" w:hAnsi="FreeSans"/>
        </w:rPr>
        <w:t>Zembylas 2005)</w:t>
      </w:r>
      <w:r>
        <w:rPr/>
      </w:r>
      <w:r>
        <w:rPr/>
        <w:fldChar w:fldCharType="end"/>
      </w:r>
      <w:bookmarkEnd w:id="60"/>
      <w:bookmarkEnd w:id="61"/>
      <w:r>
        <w:rPr>
          <w:rFonts w:ascii="FreeSans" w:hAnsi="FreeSans"/>
        </w:rPr>
        <w:t xml:space="preserve">. This mode of analysis is drawn from a reading of Foucault </w:t>
      </w:r>
      <w:r>
        <w:fldChar w:fldCharType="begin"/>
      </w:r>
      <w:r>
        <w:rPr/>
        <w:instrText>ADDIN EN.CITE &lt;EndNote&gt;&lt;Cite ExcludeAuth="1"&gt;&lt;Author&gt;Foucault&lt;/Author&gt;&lt;Year&gt;1987&lt;/Year&gt;&lt;RecNum&gt;201&lt;/RecNum&gt;&lt;DisplayText&gt;(1982, 1987)&lt;/DisplayText&gt;&lt;record&gt;&lt;rec-number&gt;201&lt;/rec-number&gt;&lt;foreign-keys&gt;&lt;key app="EN" db-id="s5fx2pts9xfx0ye5as1vf22yaftedsr05rz9" timestamp="1526008248"&gt;201&lt;/key&gt;&lt;/foreign-keys&gt;&lt;ref-type name="Journal Article"&gt;17&lt;/ref-type&gt;&lt;contributors&gt;&lt;authors&gt;&lt;author&gt;Foucault, Michel&lt;/author&gt;&lt;/authors&gt;&lt;/contributors&gt;&lt;titles&gt;&lt;title&gt;The Ethic of Care for the Self as a Practice of Freedom: An Interview with Michel Foucault on January 20, 1984 in The Final Foucault: Studies on Michel Foucault&amp;apos;s Last Works&lt;/title&gt;&lt;secondary-title&gt;Philosophy &amp;amp; social criticism&lt;/secondary-title&gt;&lt;/titles&gt;&lt;periodical&gt;&lt;full-title&gt;Philosophy &amp;amp; social criticism&lt;/full-title&gt;&lt;/periodical&gt;&lt;pages&gt;112-131&lt;/pages&gt;&lt;volume&gt;12&lt;/volume&gt;&lt;number&gt;2-3&lt;/number&gt;&lt;dates&gt;&lt;year&gt;1987&lt;/year&gt;&lt;/dates&gt;&lt;isbn&gt;0191-4537&lt;/isbn&gt;&lt;urls&gt;&lt;/urls&gt;&lt;/record&gt;&lt;/Cite&gt;&lt;Cite ExcludeAuth="1"&gt;&lt;Author&gt;Foucault&lt;/Author&gt;&lt;Year&gt;1982&lt;/Year&gt;&lt;RecNum&gt;202&lt;/RecNum&gt;&lt;record&gt;&lt;rec-number&gt;202&lt;/rec-number&gt;&lt;foreign-keys&gt;&lt;key app="EN" db-id="s5fx2pts9xfx0ye5as1vf22yaftedsr05rz9" timestamp="1526008263"&gt;202&lt;/key&gt;&lt;/foreign-keys&gt;&lt;ref-type name="Journal Article"&gt;17&lt;/ref-type&gt;&lt;contributors&gt;&lt;authors&gt;&lt;author&gt;Foucault, Michel&lt;/author&gt;&lt;/authors&gt;&lt;/contributors&gt;&lt;titles&gt;&lt;title&gt;The subject and power&lt;/title&gt;&lt;secondary-title&gt;Critical inquiry&lt;/secondary-title&gt;&lt;/titles&gt;&lt;periodical&gt;&lt;full-title&gt;Critical inquiry&lt;/full-title&gt;&lt;/periodical&gt;&lt;pages&gt;777-795&lt;/pages&gt;&lt;volume&gt;8&lt;/volume&gt;&lt;number&gt;4&lt;/number&gt;&lt;dates&gt;&lt;year&gt;1982&lt;/year&gt;&lt;/dates&gt;&lt;isbn&gt;0093-1896&lt;/isbn&gt;&lt;urls&gt;&lt;/urls&gt;&lt;/record&gt;&lt;/Cite&gt;&lt;/EndNote&gt;</w:instrText>
      </w:r>
      <w:r>
        <w:rPr/>
        <w:fldChar w:fldCharType="separate"/>
      </w:r>
      <w:bookmarkStart w:id="62" w:name="__Fieldmark__22521_1677319845"/>
      <w:r>
        <w:rPr/>
      </w:r>
      <w:r>
        <w:rPr>
          <w:rFonts w:ascii="FreeSans" w:hAnsi="FreeSans"/>
        </w:rPr>
        <w:t>(</w:t>
      </w:r>
      <w:bookmarkStart w:id="63" w:name="__Fieldmark__17508_2090204579"/>
      <w:r>
        <w:rPr>
          <w:rFonts w:ascii="FreeSans" w:hAnsi="FreeSans"/>
        </w:rPr>
        <w:t>1982, 1987)</w:t>
      </w:r>
      <w:r>
        <w:rPr/>
      </w:r>
      <w:r>
        <w:rPr/>
        <w:fldChar w:fldCharType="end"/>
      </w:r>
      <w:bookmarkEnd w:id="62"/>
      <w:bookmarkEnd w:id="63"/>
      <w:r>
        <w:rPr>
          <w:rFonts w:ascii="FreeSans" w:hAnsi="FreeSans"/>
        </w:rPr>
        <w:t xml:space="preserve">, who posits that power is productive, with subjugation and resistance central to understanding the world around us, and this can be examined through the discourse of experience rather than experience itself. Through a Foucauldian reading of the data I ask how participants relate to themselves and become subjects that govern themselves or are governed by others </w:t>
      </w:r>
      <w:r>
        <w:fldChar w:fldCharType="begin"/>
      </w:r>
      <w:r>
        <w:rPr/>
        <w:instrText>ADDIN EN.CITE &lt;EndNote&gt;&lt;Cite&gt;&lt;Author&gt;Rose&lt;/Author&gt;&lt;Year&gt;1998&lt;/Year&gt;&lt;RecNum&gt;200&lt;/RecNum&gt;&lt;DisplayText&gt;(Rose 1998)&lt;/DisplayText&gt;&lt;record&gt;&lt;rec-number&gt;200&lt;/rec-number&gt;&lt;foreign-keys&gt;&lt;key app="EN" db-id="s5fx2pts9xfx0ye5as1vf22yaftedsr05rz9" timestamp="1526006820"&gt;200&lt;/key&gt;&lt;/foreign-keys&gt;&lt;ref-type name="Book"&gt;6&lt;/ref-type&gt;&lt;contributors&gt;&lt;authors&gt;&lt;author&gt;Rose, Nikolas&lt;/author&gt;&lt;/authors&gt;&lt;/contributors&gt;&lt;titles&gt;&lt;title&gt;Inventing our selves: Psychology, power, and personhood&lt;/title&gt;&lt;/titles&gt;&lt;dates&gt;&lt;year&gt;1998&lt;/year&gt;&lt;/dates&gt;&lt;publisher&gt;Cambridge University Press&lt;/publisher&gt;&lt;isbn&gt;0521646073&lt;/isbn&gt;&lt;urls&gt;&lt;/urls&gt;&lt;/record&gt;&lt;/Cite&gt;&lt;/EndNote&gt;</w:instrText>
      </w:r>
      <w:r>
        <w:rPr/>
        <w:fldChar w:fldCharType="separate"/>
      </w:r>
      <w:bookmarkStart w:id="64" w:name="__Fieldmark__22528_1677319845"/>
      <w:r>
        <w:rPr/>
      </w:r>
      <w:r>
        <w:rPr>
          <w:rFonts w:ascii="FreeSans" w:hAnsi="FreeSans"/>
        </w:rPr>
        <w:t>(</w:t>
      </w:r>
      <w:bookmarkStart w:id="65" w:name="__Fieldmark__17513_2090204579"/>
      <w:r>
        <w:rPr>
          <w:rFonts w:ascii="FreeSans" w:hAnsi="FreeSans"/>
        </w:rPr>
        <w:t>Rose 1998)</w:t>
      </w:r>
      <w:r>
        <w:rPr/>
      </w:r>
      <w:r>
        <w:rPr/>
        <w:fldChar w:fldCharType="end"/>
      </w:r>
      <w:bookmarkEnd w:id="64"/>
      <w:bookmarkEnd w:id="65"/>
      <w:r>
        <w:rPr>
          <w:rFonts w:ascii="FreeSans" w:hAnsi="FreeSans"/>
        </w:rPr>
        <w:t xml:space="preserve">. Drawing from Braunmühl </w:t>
      </w:r>
      <w:r>
        <w:fldChar w:fldCharType="begin"/>
      </w:r>
      <w:r>
        <w:rPr/>
        <w:instrText>ADDIN EN.CITE &lt;EndNote&gt;&lt;Cite ExcludeAuth="1"&gt;&lt;Author&gt;Braunmühl&lt;/Author&gt;&lt;Year&gt;2012&lt;/Year&gt;&lt;RecNum&gt;176&lt;/RecNum&gt;&lt;DisplayText&gt;(2012)&lt;/DisplayText&gt;&lt;record&gt;&lt;rec-number&gt;176&lt;/rec-number&gt;&lt;foreign-keys&gt;&lt;key app="EN" db-id="s5fx2pts9xfx0ye5as1vf22yaftedsr05rz9" timestamp="1518401983"&gt;176&lt;/key&gt;&lt;/foreign-keys&gt;&lt;ref-type name="Journal Article"&gt;17&lt;/ref-type&gt;&lt;contributors&gt;&lt;authors&gt;&lt;author&gt;Braunmühl, Caroline&lt;/author&gt;&lt;/authors&gt;&lt;/contributors&gt;&lt;titles&gt;&lt;title&gt;Theorizing emotions with Judith Butler: Within and beyond the courtroom&lt;/title&gt;&lt;secondary-title&gt;Rethinking History&lt;/secondary-title&gt;&lt;/titles&gt;&lt;periodical&gt;&lt;full-title&gt;Rethinking History&lt;/full-title&gt;&lt;/periodical&gt;&lt;pages&gt;221-240&lt;/pages&gt;&lt;volume&gt;16&lt;/volume&gt;&lt;number&gt;2&lt;/number&gt;&lt;dates&gt;&lt;year&gt;2012&lt;/year&gt;&lt;/dates&gt;&lt;isbn&gt;1364-2529&lt;/isbn&gt;&lt;urls&gt;&lt;/urls&gt;&lt;/record&gt;&lt;/Cite&gt;&lt;/EndNote&gt;</w:instrText>
      </w:r>
      <w:r>
        <w:rPr/>
        <w:fldChar w:fldCharType="separate"/>
      </w:r>
      <w:bookmarkStart w:id="66" w:name="__Fieldmark__22535_1677319845"/>
      <w:r>
        <w:rPr/>
      </w:r>
      <w:r>
        <w:rPr>
          <w:rFonts w:ascii="FreeSans" w:hAnsi="FreeSans"/>
        </w:rPr>
        <w:t>(</w:t>
      </w:r>
      <w:bookmarkStart w:id="67" w:name="__Fieldmark__17523_2090204579"/>
      <w:r>
        <w:rPr>
          <w:rFonts w:ascii="FreeSans" w:hAnsi="FreeSans"/>
        </w:rPr>
        <w:t>2012)</w:t>
      </w:r>
      <w:r>
        <w:rPr/>
      </w:r>
      <w:r>
        <w:rPr/>
        <w:fldChar w:fldCharType="end"/>
      </w:r>
      <w:bookmarkEnd w:id="66"/>
      <w:bookmarkEnd w:id="67"/>
      <w:r>
        <w:rPr>
          <w:rFonts w:ascii="FreeSans" w:hAnsi="FreeSans"/>
        </w:rPr>
        <w:t xml:space="preserve">, the concept of emotional performativity as citationality was used to identify moments of emotional expression. Performative citationality is a way of expressing our continuous engagement in practices that ensure the existence of norms by citing them. </w:t>
      </w:r>
    </w:p>
    <w:p>
      <w:pPr>
        <w:pStyle w:val="TextBody"/>
        <w:spacing w:lineRule="auto" w:line="360"/>
        <w:rPr/>
      </w:pPr>
      <w:r>
        <w:rPr>
          <w:rFonts w:ascii="FreeSans" w:hAnsi="FreeSans"/>
        </w:rPr>
        <w:t xml:space="preserve">Operationally, analysis involved comparing reflections across transcripts, observational field notes and the emotional reflections of the investigator. Incorporation of these data were included to flesh out specific contexts. Key moments where emotions were named and performed were identified in transcripts and subjected to open coding and reflection. Analytic memos with reference to empirical examples were developed forming key movements of emotions in relation to knowledge translation. This involved reflexive interpretation, where ‘moments in the researcher’s own thinking… lead to synthesis, or selections, of various interpretations and reflections’ </w:t>
      </w:r>
      <w:r>
        <w:fldChar w:fldCharType="begin"/>
      </w:r>
      <w:r>
        <w:rPr/>
        <w:instrText>ADDIN EN.CITE &lt;EndNote&gt;&lt;Cite&gt;&lt;Author&gt;Alvesson&lt;/Author&gt;&lt;Year&gt;2017&lt;/Year&gt;&lt;RecNum&gt;184&lt;/RecNum&gt;&lt;DisplayText&gt;(Alvesson and Sköldberg 2017)&lt;/DisplayText&gt;&lt;record&gt;&lt;rec-number&gt;184&lt;/rec-number&gt;&lt;foreign-keys&gt;&lt;key app="EN" db-id="s5fx2pts9xfx0ye5as1vf22yaftedsr05rz9" timestamp="1524714357"&gt;184&lt;/key&gt;&lt;/foreign-keys&gt;&lt;ref-type name="Book"&gt;6&lt;/ref-type&gt;&lt;contributors&gt;&lt;authors&gt;&lt;author&gt;Alvesson, Mats&lt;/author&gt;&lt;author&gt;Sköldberg, Kaj&lt;/author&gt;&lt;/authors&gt;&lt;/contributors&gt;&lt;titles&gt;&lt;title&gt;Reflexive methodology: New vistas for qualitative research&lt;/title&gt;&lt;/titles&gt;&lt;dates&gt;&lt;year&gt;2017&lt;/year&gt;&lt;/dates&gt;&lt;publisher&gt;Sage&lt;/publisher&gt;&lt;isbn&gt;1526428865&lt;/isbn&gt;&lt;urls&gt;&lt;/urls&gt;&lt;/record&gt;&lt;/Cite&gt;&lt;/EndNote&gt;</w:instrText>
      </w:r>
      <w:r>
        <w:rPr/>
        <w:fldChar w:fldCharType="separate"/>
      </w:r>
      <w:bookmarkStart w:id="68" w:name="__Fieldmark__22544_1677319845"/>
      <w:r>
        <w:rPr/>
      </w:r>
      <w:r>
        <w:rPr>
          <w:rFonts w:ascii="FreeSans" w:hAnsi="FreeSans"/>
        </w:rPr>
        <w:t>(</w:t>
      </w:r>
      <w:bookmarkStart w:id="69" w:name="__Fieldmark__17550_2090204579"/>
      <w:r>
        <w:rPr>
          <w:rFonts w:ascii="FreeSans" w:hAnsi="FreeSans"/>
        </w:rPr>
        <w:t>Alvesson and Sköldberg 2017)</w:t>
      </w:r>
      <w:r>
        <w:rPr/>
      </w:r>
      <w:r>
        <w:rPr/>
        <w:fldChar w:fldCharType="end"/>
      </w:r>
      <w:bookmarkEnd w:id="68"/>
      <w:bookmarkEnd w:id="69"/>
      <w:r>
        <w:rPr>
          <w:rFonts w:ascii="FreeSans" w:hAnsi="FreeSans"/>
        </w:rPr>
        <w:t xml:space="preserve">. Based on Ahmed’s languages of analysis, I undertook a ‘systematic reflection’ on multiple levels to ‘endow the interpretation with quality that makes empirical research of value’ </w:t>
      </w:r>
      <w:r>
        <w:fldChar w:fldCharType="begin"/>
      </w:r>
      <w:r>
        <w:rPr/>
        <w:instrText>ADDIN EN.CITE &lt;EndNote&gt;&lt;Cite&gt;&lt;Author&gt;Alvesson&lt;/Author&gt;&lt;Year&gt;2017&lt;/Year&gt;&lt;RecNum&gt;184&lt;/RecNum&gt;&lt;Pages&gt;9&lt;/Pages&gt;&lt;DisplayText&gt;(Alvesson and Sköldberg 2017)&lt;/DisplayText&gt;&lt;record&gt;&lt;rec-number&gt;184&lt;/rec-number&gt;&lt;foreign-keys&gt;&lt;key app="EN" db-id="s5fx2pts9xfx0ye5as1vf22yaftedsr05rz9" timestamp="1524714357"&gt;184&lt;/key&gt;&lt;/foreign-keys&gt;&lt;ref-type name="Book"&gt;6&lt;/ref-type&gt;&lt;contributors&gt;&lt;authors&gt;&lt;author&gt;Alvesson, Mats&lt;/author&gt;&lt;author&gt;Sköldberg, Kaj&lt;/author&gt;&lt;/authors&gt;&lt;/contributors&gt;&lt;titles&gt;&lt;title&gt;Reflexive methodology: New vistas for qualitative research&lt;/title&gt;&lt;/titles&gt;&lt;dates&gt;&lt;year&gt;2017&lt;/year&gt;&lt;/dates&gt;&lt;publisher&gt;Sage&lt;/publisher&gt;&lt;isbn&gt;1526428865&lt;/isbn&gt;&lt;urls&gt;&lt;/urls&gt;&lt;/record&gt;&lt;/Cite&gt;&lt;/EndNote&gt;</w:instrText>
      </w:r>
      <w:r>
        <w:rPr/>
        <w:fldChar w:fldCharType="separate"/>
      </w:r>
      <w:bookmarkStart w:id="70" w:name="__Fieldmark__22551_1677319845"/>
      <w:r>
        <w:rPr/>
      </w:r>
      <w:r>
        <w:rPr>
          <w:rFonts w:ascii="FreeSans" w:hAnsi="FreeSans"/>
        </w:rPr>
        <w:t>(</w:t>
      </w:r>
      <w:bookmarkStart w:id="71" w:name="__Fieldmark__17556_2090204579"/>
      <w:r>
        <w:rPr>
          <w:rFonts w:ascii="FreeSans" w:hAnsi="FreeSans"/>
        </w:rPr>
        <w:t>Alvesson and Sköldberg 2017)</w:t>
      </w:r>
      <w:r>
        <w:rPr/>
      </w:r>
      <w:r>
        <w:rPr/>
        <w:fldChar w:fldCharType="end"/>
      </w:r>
      <w:bookmarkEnd w:id="70"/>
      <w:bookmarkEnd w:id="71"/>
      <w:r>
        <w:rPr>
          <w:rFonts w:ascii="FreeSans" w:hAnsi="FreeSans"/>
        </w:rPr>
        <w:t>.</w:t>
      </w:r>
    </w:p>
    <w:p>
      <w:pPr>
        <w:pStyle w:val="TextBody"/>
        <w:spacing w:lineRule="auto" w:line="360"/>
        <w:rPr>
          <w:szCs w:val="24"/>
        </w:rPr>
      </w:pPr>
      <w:r>
        <w:rPr>
          <w:rFonts w:ascii="FreeSans" w:hAnsi="FreeSans"/>
        </w:rPr>
        <w:t>Interactions between clinicians were where citational performance of emotions were particularly stark. In these interactions nurses used emotions to articulate patient contexts and accentuate certain features of their care. Analysis revolved around coding the labelling of emotions or the use of emotive words or phrases along with the performative physical expressions such as laughter, sighs, stern looks, or a defeated posture. This coding provided a focal point for examining the role language and performance played in constituting the experience of emotion and how it was employed to serve participants’ immediate or long-term interests. For instance, discussing a patient as a ‘sad lady, someone you feel sad when you leave’ wasn’t merely an opportunity to express these feelings in a vacuum, but rather it had the purpose of shaping the plan of care, articulating the shared understanding of the patient’s situation. Or, in a review of a patient, the act of describing a family in denial of the patient’s palliative care status and prognosis involved physical expressions of frustration and language representing empathetic sadness for the patient. The expression of frustration at the challenges this poses nurses and sadness at the lack of care a patient might be receiving from carers served to signify the shared understanding of the need for a supportive family and, subsequently shape how the participants considered their collective emotional position with regards to this relationship. These instances were important signifiers of political or relational movements towards or away from practices and so became a key focal point for the analysis stepping away from the wider, narrative context.</w:t>
      </w:r>
    </w:p>
    <w:p>
      <w:pPr>
        <w:pStyle w:val="Heading1"/>
        <w:rPr/>
      </w:pPr>
      <w:r>
        <w:rPr/>
        <w:t xml:space="preserve">Discussion </w:t>
      </w:r>
    </w:p>
    <w:p>
      <w:pPr>
        <w:pStyle w:val="TextBody"/>
        <w:spacing w:lineRule="auto" w:line="360"/>
        <w:rPr/>
      </w:pPr>
      <w:r>
        <w:rPr>
          <w:rFonts w:ascii="FreeSans" w:hAnsi="FreeSans"/>
        </w:rPr>
        <w:t xml:space="preserve">In this project, the turning between a narrative approach and a discrete approach to analysis enabled the research to be situated in both a thinking and feeling paradigm, with attention paid to language, performance, social construction and lived experience </w:t>
      </w:r>
      <w:r>
        <w:fldChar w:fldCharType="begin"/>
      </w:r>
      <w:r>
        <w:rPr/>
        <w:instrText>ADDIN EN.CITE &lt;EndNote&gt;&lt;Cite&gt;&lt;Author&gt;Zembylas&lt;/Author&gt;&lt;Year&gt;2011&lt;/Year&gt;&lt;RecNum&gt;177&lt;/RecNum&gt;&lt;Pages&gt;35&lt;/Pages&gt;&lt;DisplayText&gt;(Zembylas 2011)&lt;/DisplayText&gt;&lt;record&gt;&lt;rec-number&gt;177&lt;/rec-number&gt;&lt;foreign-keys&gt;&lt;key app="EN" db-id="s5fx2pts9xfx0ye5as1vf22yaftedsr05rz9" timestamp="1519700375"&gt;177&lt;/key&gt;&lt;/foreign-keys&gt;&lt;ref-type name="Book Section"&gt;5&lt;/ref-type&gt;&lt;contributors&gt;&lt;authors&gt;&lt;author&gt;Zembylas, Michalinos&lt;/author&gt;&lt;/authors&gt;&lt;/contributors&gt;&lt;titles&gt;&lt;title&gt;Teaching and teacher emotions: A post-structural perspective&lt;/title&gt;&lt;secondary-title&gt;New Understandings of Teacher&amp;apos;s Work&lt;/secondary-title&gt;&lt;/titles&gt;&lt;pages&gt;31-43&lt;/pages&gt;&lt;dates&gt;&lt;year&gt;2011&lt;/year&gt;&lt;/dates&gt;&lt;publisher&gt;Springer&lt;/publisher&gt;&lt;urls&gt;&lt;/urls&gt;&lt;/record&gt;&lt;/Cite&gt;&lt;/EndNote&gt;</w:instrText>
      </w:r>
      <w:r>
        <w:rPr/>
        <w:fldChar w:fldCharType="separate"/>
      </w:r>
      <w:bookmarkStart w:id="72" w:name="__Fieldmark__22562_1677319845"/>
      <w:r>
        <w:rPr/>
      </w:r>
      <w:r>
        <w:rPr>
          <w:rFonts w:ascii="FreeSans" w:hAnsi="FreeSans"/>
        </w:rPr>
        <w:t>(</w:t>
      </w:r>
      <w:bookmarkStart w:id="73" w:name="__Fieldmark__17606_2090204579"/>
      <w:r>
        <w:rPr>
          <w:rFonts w:ascii="FreeSans" w:hAnsi="FreeSans"/>
        </w:rPr>
        <w:t>Zembylas 2011)</w:t>
      </w:r>
      <w:r>
        <w:rPr/>
      </w:r>
      <w:r>
        <w:rPr/>
        <w:fldChar w:fldCharType="end"/>
      </w:r>
      <w:bookmarkEnd w:id="72"/>
      <w:bookmarkEnd w:id="73"/>
      <w:r>
        <w:rPr>
          <w:rFonts w:ascii="FreeSans" w:hAnsi="FreeSans"/>
        </w:rPr>
        <w:t xml:space="preserve">. This ‘interactionist’ </w:t>
      </w:r>
      <w:r>
        <w:fldChar w:fldCharType="begin"/>
      </w:r>
      <w:r>
        <w:rPr/>
        <w:instrText>ADDIN EN.CITE &lt;EndNote&gt;&lt;Cite&gt;&lt;Author&gt;Savage&lt;/Author&gt;&lt;Year&gt;2004&lt;/Year&gt;&lt;RecNum&gt;167&lt;/RecNum&gt;&lt;Pages&gt;27&lt;/Pages&gt;&lt;DisplayText&gt;(Savage 2004)&lt;/DisplayText&gt;&lt;record&gt;&lt;rec-number&gt;167&lt;/rec-number&gt;&lt;foreign-keys&gt;&lt;key app="EN" db-id="tp225fswxt9vame0rpbpsxebfwfxdwz9x5tx" timestamp="1460361101"&gt;167&lt;/key&gt;&lt;/foreign-keys&gt;&lt;ref-type name="Journal Article"&gt;17&lt;/ref-type&gt;&lt;contributors&gt;&lt;authors&gt;&lt;author&gt;Savage, Jan&lt;/author&gt;&lt;/authors&gt;&lt;/contributors&gt;&lt;titles&gt;&lt;title&gt;Researching emotion: the need for coherence between focus, theory and methodology&lt;/title&gt;&lt;secondary-title&gt;Nursing inquiry&lt;/secondary-title&gt;&lt;/titles&gt;&lt;periodical&gt;&lt;full-title&gt;Nursing inquiry&lt;/full-title&gt;&lt;/periodical&gt;&lt;pages&gt;25-34&lt;/pages&gt;&lt;volume&gt;11&lt;/volume&gt;&lt;number&gt;1&lt;/number&gt;&lt;dates&gt;&lt;year&gt;2004&lt;/year&gt;&lt;/dates&gt;&lt;isbn&gt;1440-1800&lt;/isbn&gt;&lt;urls&gt;&lt;/urls&gt;&lt;/record&gt;&lt;/Cite&gt;&lt;/EndNote&gt;</w:instrText>
      </w:r>
      <w:r>
        <w:rPr/>
        <w:fldChar w:fldCharType="separate"/>
      </w:r>
      <w:bookmarkStart w:id="74" w:name="__Fieldmark__22569_1677319845"/>
      <w:r>
        <w:rPr/>
      </w:r>
      <w:r>
        <w:rPr>
          <w:rFonts w:ascii="FreeSans" w:hAnsi="FreeSans"/>
        </w:rPr>
        <w:t>(</w:t>
      </w:r>
      <w:bookmarkStart w:id="75" w:name="__Fieldmark__17612_2090204579"/>
      <w:r>
        <w:rPr>
          <w:rFonts w:ascii="FreeSans" w:hAnsi="FreeSans"/>
        </w:rPr>
        <w:t>Savage 2004)</w:t>
      </w:r>
      <w:r>
        <w:rPr/>
      </w:r>
      <w:r>
        <w:rPr/>
        <w:fldChar w:fldCharType="end"/>
      </w:r>
      <w:bookmarkEnd w:id="74"/>
      <w:bookmarkEnd w:id="75"/>
      <w:r>
        <w:rPr>
          <w:rFonts w:ascii="FreeSans" w:hAnsi="FreeSans"/>
        </w:rPr>
        <w:t xml:space="preserve"> approach to emotion is important to understand them as embedded in particular social and cultural contexts, with an emphasis on the role that language, bodily performance, politics and culture play in the constitution of emotional impressions. The naming and performing of different emotions in emotion texts were not assumed to be simply labels for ‘emotional things’ describing pre-existing entities or natural events. Rather they were seen as ‘coalescences of complex ethnotheoretical ideas about the nature of self and social interaction’ and as ‘actions or ideological practices’ serving specific ends as part of the creation and negotiation of reality </w:t>
      </w:r>
      <w:r>
        <w:fldChar w:fldCharType="begin"/>
      </w:r>
      <w:r>
        <w:rPr/>
        <w:instrText>ADDIN EN.CITE &lt;EndNote&gt;&lt;Cite&gt;&lt;Author&gt;Lutz&lt;/Author&gt;&lt;Year&gt;1990&lt;/Year&gt;&lt;RecNum&gt;164&lt;/RecNum&gt;&lt;DisplayText&gt;(Lutz and Abu-Lughod 1990)&lt;/DisplayText&gt;&lt;record&gt;&lt;rec-number&gt;164&lt;/rec-number&gt;&lt;foreign-keys&gt;&lt;key app="EN" db-id="tp225fswxt9vame0rpbpsxebfwfxdwz9x5tx" timestamp="1458003246"&gt;164&lt;/key&gt;&lt;/foreign-keys&gt;&lt;ref-type name="Conference Proceedings"&gt;10&lt;/ref-type&gt;&lt;contributors&gt;&lt;authors&gt;&lt;author&gt;Lutz, Catherine A&lt;/author&gt;&lt;author&gt;Abu-Lughod, Lila Ed&lt;/author&gt;&lt;/authors&gt;&lt;/contributors&gt;&lt;titles&gt;&lt;title&gt;Language and the politics of emotion&lt;/title&gt;&lt;secondary-title&gt;This book grew out of a session at the 1987 annual meeting of the American Anthropological Association called&amp;quot; Emotion and Discourse.&amp;quot;&lt;/secondary-title&gt;&lt;/titles&gt;&lt;dates&gt;&lt;year&gt;1990&lt;/year&gt;&lt;/dates&gt;&lt;publisher&gt;Editions de la Maison des Sciences de l&amp;apos;Homme&lt;/publisher&gt;&lt;isbn&gt;0521382041&lt;/isbn&gt;&lt;urls&gt;&lt;/urls&gt;&lt;/record&gt;&lt;/Cite&gt;&lt;/EndNote&gt;</w:instrText>
      </w:r>
      <w:r>
        <w:rPr/>
        <w:fldChar w:fldCharType="separate"/>
      </w:r>
      <w:bookmarkStart w:id="76" w:name="__Fieldmark__22576_1677319845"/>
      <w:r>
        <w:rPr/>
      </w:r>
      <w:r>
        <w:rPr>
          <w:rFonts w:ascii="FreeSans" w:hAnsi="FreeSans"/>
        </w:rPr>
        <w:t>(</w:t>
      </w:r>
      <w:bookmarkStart w:id="77" w:name="__Fieldmark__17625_2090204579"/>
      <w:r>
        <w:rPr>
          <w:rFonts w:ascii="FreeSans" w:hAnsi="FreeSans"/>
        </w:rPr>
        <w:t>Lutz and Abu-Lughod 1990)</w:t>
      </w:r>
      <w:r>
        <w:rPr/>
      </w:r>
      <w:r>
        <w:rPr/>
        <w:fldChar w:fldCharType="end"/>
      </w:r>
      <w:bookmarkEnd w:id="76"/>
      <w:bookmarkEnd w:id="77"/>
      <w:r>
        <w:rPr>
          <w:rFonts w:ascii="FreeSans" w:hAnsi="FreeSans"/>
        </w:rPr>
        <w:t xml:space="preserve">. The analysis aimed to unpack the complex layers of meaning and movement represented by the words associated with emotions.  </w:t>
      </w:r>
    </w:p>
    <w:p>
      <w:pPr>
        <w:pStyle w:val="TextBody"/>
        <w:spacing w:lineRule="auto" w:line="360"/>
        <w:rPr/>
      </w:pPr>
      <w:r>
        <w:rPr>
          <w:rFonts w:ascii="FreeSans" w:hAnsi="FreeSans"/>
        </w:rPr>
        <w:t xml:space="preserve">In the context of analysis, Ahmed’s (2013) Cultural Politics of Emotion was a key touchstone. </w:t>
      </w:r>
      <w:r>
        <w:fldChar w:fldCharType="begin"/>
      </w:r>
      <w:r>
        <w:rPr/>
        <w:instrText>ADDIN EN.CITE &lt;EndNote&gt;&lt;Cite AuthorYear="1"&gt;&lt;Author&gt;Ahmed&lt;/Author&gt;&lt;Year&gt;2013&lt;/Year&gt;&lt;RecNum&gt;181&lt;/RecNum&gt;&lt;DisplayText&gt;Ahmed (2013)&lt;/DisplayText&gt;&lt;record&gt;&lt;rec-number&gt;181&lt;/rec-number&gt;&lt;foreign-keys&gt;&lt;key app="EN" db-id="tp225fswxt9vame0rpbpsxebfwfxdwz9x5tx" timestamp="1460613931"&gt;181&lt;/key&gt;&lt;/foreign-keys&gt;&lt;ref-type name="Book"&gt;6&lt;/ref-type&gt;&lt;contributors&gt;&lt;authors&gt;&lt;author&gt;Ahmed, Sara&lt;/author&gt;&lt;/authors&gt;&lt;/contributors&gt;&lt;titles&gt;&lt;title&gt;The cultural politics of emotion&lt;/title&gt;&lt;/titles&gt;&lt;dates&gt;&lt;year&gt;2013&lt;/year&gt;&lt;/dates&gt;&lt;publisher&gt;Routledge&lt;/publisher&gt;&lt;isbn&gt;1135205752&lt;/isbn&gt;&lt;urls&gt;&lt;/urls&gt;&lt;/record&gt;&lt;/Cite&gt;&lt;/EndNote&gt;</w:instrText>
      </w:r>
      <w:r>
        <w:rPr/>
        <w:fldChar w:fldCharType="separate"/>
      </w:r>
      <w:bookmarkStart w:id="78" w:name="__Fieldmark__22585_1677319845"/>
      <w:r>
        <w:rPr/>
      </w:r>
      <w:r>
        <w:rPr>
          <w:rFonts w:ascii="FreeSans" w:hAnsi="FreeSans"/>
        </w:rPr>
        <w:t>A</w:t>
      </w:r>
      <w:bookmarkStart w:id="79" w:name="__Fieldmark__17633_2090204579"/>
      <w:r>
        <w:rPr>
          <w:rFonts w:ascii="FreeSans" w:hAnsi="FreeSans"/>
        </w:rPr>
        <w:t>hmed (2013)</w:t>
      </w:r>
      <w:r>
        <w:rPr/>
      </w:r>
      <w:r>
        <w:rPr/>
        <w:fldChar w:fldCharType="end"/>
      </w:r>
      <w:bookmarkEnd w:id="78"/>
      <w:bookmarkEnd w:id="79"/>
      <w:r>
        <w:rPr>
          <w:rFonts w:ascii="FreeSans" w:hAnsi="FreeSans"/>
        </w:rPr>
        <w:t xml:space="preserve"> stated that ‘the tracking of the work of emotions means crossing disciplinary boundaries’. While she acknowledges the inherent ‘risk’ of such a pursuit (i.e. not doing justice to the intellectual histories of the diverse disciplines), she understands emotions as existing beyond the influence of such disciplinary objects. Ahmed’s theories offer a way to understand emotions as an outcome of bodily memories and histories of contact between racialized, gendered, sexualized, and otherwise differentiated bodies. Inherent in this methodology is a reading of emotions through the relations of power inherent in emotion talk, that is the ways emotions create communities and legitimise political decisions. Emotion functions as a discursive practice in which emotional expression is productive making individuals into socially and culturally specific persons engaged in complex webs of power relations. In this approach, emotions are inherently politicised, prompting interrogation of the dominant historical and cultural norms associated with knowledge and emotion, norms shaping how emotions are expressed, and who gets to express them and under what circumstances </w:t>
      </w:r>
      <w:r>
        <w:fldChar w:fldCharType="begin"/>
      </w:r>
      <w:r>
        <w:rPr/>
        <w:instrText>ADDIN EN.CITE &lt;EndNote&gt;&lt;Cite&gt;&lt;Author&gt;Holmes&lt;/Author&gt;&lt;Year&gt;2004&lt;/Year&gt;&lt;RecNum&gt;178&lt;/RecNum&gt;&lt;DisplayText&gt;(Holmes 2004)&lt;/DisplayText&gt;&lt;record&gt;&lt;rec-number&gt;178&lt;/rec-number&gt;&lt;foreign-keys&gt;&lt;key app="EN" db-id="s5fx2pts9xfx0ye5as1vf22yaftedsr05rz9" timestamp="1519700679"&gt;178&lt;/key&gt;&lt;/foreign-keys&gt;&lt;ref-type name="Journal Article"&gt;17&lt;/ref-type&gt;&lt;contributors&gt;&lt;authors&gt;&lt;author&gt;Holmes, Mary&lt;/author&gt;&lt;/authors&gt;&lt;/contributors&gt;&lt;titles&gt;&lt;title&gt;Feeling beyond rules: Politicizing the sociology of emotion and anger in feminist politics&lt;/title&gt;&lt;secondary-title&gt;European Journal of Social Theory&lt;/secondary-title&gt;&lt;/titles&gt;&lt;periodical&gt;&lt;full-title&gt;European Journal of Social Theory&lt;/full-title&gt;&lt;/periodical&gt;&lt;pages&gt;209-227&lt;/pages&gt;&lt;volume&gt;7&lt;/volume&gt;&lt;number&gt;2&lt;/number&gt;&lt;dates&gt;&lt;year&gt;2004&lt;/year&gt;&lt;/dates&gt;&lt;isbn&gt;1368-4310&lt;/isbn&gt;&lt;urls&gt;&lt;/urls&gt;&lt;/record&gt;&lt;/Cite&gt;&lt;/EndNote&gt;</w:instrText>
      </w:r>
      <w:r>
        <w:rPr/>
        <w:fldChar w:fldCharType="separate"/>
      </w:r>
      <w:bookmarkStart w:id="80" w:name="__Fieldmark__22592_1677319845"/>
      <w:r>
        <w:rPr/>
      </w:r>
      <w:r>
        <w:rPr>
          <w:rFonts w:ascii="FreeSans" w:hAnsi="FreeSans"/>
        </w:rPr>
        <w:t>(</w:t>
      </w:r>
      <w:bookmarkStart w:id="81" w:name="__Fieldmark__17656_2090204579"/>
      <w:r>
        <w:rPr>
          <w:rFonts w:ascii="FreeSans" w:hAnsi="FreeSans"/>
        </w:rPr>
        <w:t>Holmes 2004)</w:t>
      </w:r>
      <w:r>
        <w:rPr/>
      </w:r>
      <w:r>
        <w:rPr/>
        <w:fldChar w:fldCharType="end"/>
      </w:r>
      <w:bookmarkEnd w:id="80"/>
      <w:bookmarkEnd w:id="81"/>
      <w:r>
        <w:rPr>
          <w:rFonts w:ascii="FreeSans" w:hAnsi="FreeSans"/>
        </w:rPr>
        <w:t xml:space="preserve">.  </w:t>
      </w:r>
    </w:p>
    <w:p>
      <w:pPr>
        <w:pStyle w:val="TextBody"/>
        <w:spacing w:lineRule="auto" w:line="360"/>
        <w:rPr/>
      </w:pPr>
      <w:r>
        <w:rPr>
          <w:rFonts w:ascii="FreeSans" w:hAnsi="FreeSans"/>
        </w:rPr>
        <w:t xml:space="preserve">The inclusion of a journal detailing the investigators emotions in the research experience was vital in this process to provide a reflexive account of fieldwork scrutinising what the investigator knows and how they know it </w:t>
      </w:r>
      <w:r>
        <w:fldChar w:fldCharType="begin"/>
      </w:r>
      <w:r>
        <w:rPr/>
        <w:instrText>ADDIN EN.CITE &lt;EndNote&gt;&lt;Cite&gt;&lt;Author&gt;Finlay&lt;/Author&gt;&lt;Year&gt;2002&lt;/Year&gt;&lt;RecNum&gt;219&lt;/RecNum&gt;&lt;DisplayText&gt;(Finlay 2002)&lt;/DisplayText&gt;&lt;record&gt;&lt;rec-number&gt;219&lt;/rec-number&gt;&lt;foreign-keys&gt;&lt;key app="EN" db-id="s5fx2pts9xfx0ye5as1vf22yaftedsr05rz9" timestamp="1540445487"&gt;219&lt;/key&gt;&lt;/foreign-keys&gt;&lt;ref-type name="Journal Article"&gt;17&lt;/ref-type&gt;&lt;contributors&gt;&lt;authors&gt;&lt;author&gt;Finlay, Linda&lt;/author&gt;&lt;/authors&gt;&lt;/contributors&gt;&lt;titles&gt;&lt;title&gt;“Outing” the researcher: The provenance, process, and practice of reflexivity&lt;/title&gt;&lt;secondary-title&gt;Qualitative health research&lt;/secondary-title&gt;&lt;/titles&gt;&lt;periodical&gt;&lt;full-title&gt;Qualitative health research&lt;/full-title&gt;&lt;/periodical&gt;&lt;pages&gt;531-545&lt;/pages&gt;&lt;volume&gt;12&lt;/volume&gt;&lt;number&gt;4&lt;/number&gt;&lt;dates&gt;&lt;year&gt;2002&lt;/year&gt;&lt;/dates&gt;&lt;isbn&gt;1049-7323&lt;/isbn&gt;&lt;urls&gt;&lt;/urls&gt;&lt;/record&gt;&lt;/Cite&gt;&lt;/EndNote&gt;</w:instrText>
      </w:r>
      <w:r>
        <w:rPr/>
        <w:fldChar w:fldCharType="separate"/>
      </w:r>
      <w:bookmarkStart w:id="82" w:name="__Fieldmark__22601_1677319845"/>
      <w:r>
        <w:rPr/>
      </w:r>
      <w:r>
        <w:rPr>
          <w:rFonts w:ascii="FreeSans" w:hAnsi="FreeSans"/>
        </w:rPr>
        <w:t>(</w:t>
      </w:r>
      <w:bookmarkStart w:id="83" w:name="__Fieldmark__17665_2090204579"/>
      <w:r>
        <w:rPr>
          <w:rFonts w:ascii="FreeSans" w:hAnsi="FreeSans"/>
        </w:rPr>
        <w:t>Finlay 2002)</w:t>
      </w:r>
      <w:r>
        <w:rPr/>
      </w:r>
      <w:r>
        <w:rPr/>
        <w:fldChar w:fldCharType="end"/>
      </w:r>
      <w:bookmarkEnd w:id="82"/>
      <w:bookmarkEnd w:id="83"/>
      <w:r>
        <w:rPr>
          <w:rFonts w:ascii="FreeSans" w:hAnsi="FreeSans"/>
        </w:rPr>
        <w:t xml:space="preserve">. In the study of emotions, it’s difficult and unsustainable to arbitrarily separate the investigators emotional experience and the physical act of research </w:t>
      </w:r>
      <w:r>
        <w:fldChar w:fldCharType="begin"/>
      </w:r>
      <w:r>
        <w:rPr/>
        <w:instrText>ADDIN EN.CITE &lt;EndNote&gt;&lt;Cite&gt;&lt;Author&gt;Brannan&lt;/Author&gt;&lt;Year&gt;2012&lt;/Year&gt;&lt;RecNum&gt;220&lt;/RecNum&gt;&lt;DisplayText&gt;(Brannan 2012)&lt;/DisplayText&gt;&lt;record&gt;&lt;rec-number&gt;220&lt;/rec-number&gt;&lt;foreign-keys&gt;&lt;key app="EN" db-id="s5fx2pts9xfx0ye5as1vf22yaftedsr05rz9" timestamp="1540445571"&gt;220&lt;/key&gt;&lt;/foreign-keys&gt;&lt;ref-type name="Journal Article"&gt;17&lt;/ref-type&gt;&lt;contributors&gt;&lt;authors&gt;&lt;author&gt;Brannan, Matthew J&lt;/author&gt;&lt;/authors&gt;&lt;/contributors&gt;&lt;titles&gt;&lt;title&gt;Researching emotions and the emotions of researching: The strange case of alexithymia in reflexive research&lt;/title&gt;&lt;secondary-title&gt;International Journal of Work Organisation and Emotion&lt;/secondary-title&gt;&lt;/titles&gt;&lt;periodical&gt;&lt;full-title&gt;International Journal of Work Organisation and Emotion&lt;/full-title&gt;&lt;/periodical&gt;&lt;pages&gt;322-339&lt;/pages&gt;&lt;volume&gt;4&lt;/volume&gt;&lt;number&gt;3&lt;/number&gt;&lt;dates&gt;&lt;year&gt;2012&lt;/year&gt;&lt;/dates&gt;&lt;isbn&gt;1740-8938&lt;/isbn&gt;&lt;urls&gt;&lt;/urls&gt;&lt;/record&gt;&lt;/Cite&gt;&lt;/EndNote&gt;</w:instrText>
      </w:r>
      <w:r>
        <w:rPr/>
        <w:fldChar w:fldCharType="separate"/>
      </w:r>
      <w:bookmarkStart w:id="84" w:name="__Fieldmark__22608_1677319845"/>
      <w:r>
        <w:rPr/>
      </w:r>
      <w:r>
        <w:rPr>
          <w:rFonts w:ascii="FreeSans" w:hAnsi="FreeSans"/>
        </w:rPr>
        <w:t>(</w:t>
      </w:r>
      <w:bookmarkStart w:id="85" w:name="__Fieldmark__17670_2090204579"/>
      <w:r>
        <w:rPr>
          <w:rFonts w:ascii="FreeSans" w:hAnsi="FreeSans"/>
        </w:rPr>
        <w:t>Brannan 2012)</w:t>
      </w:r>
      <w:r>
        <w:rPr/>
      </w:r>
      <w:r>
        <w:rPr/>
        <w:fldChar w:fldCharType="end"/>
      </w:r>
      <w:bookmarkEnd w:id="84"/>
      <w:bookmarkEnd w:id="85"/>
      <w:r>
        <w:rPr>
          <w:rFonts w:ascii="FreeSans" w:hAnsi="FreeSans"/>
        </w:rPr>
        <w:t xml:space="preserve">. When examining emotions, researchers ‘must work on their own feelings, modifying them to model the emotional experiences of people’ in various contexts (Leavitt, 1996). This practice creates ‘resonances’ (Zembylas 2007) with participants adding powerful and unique data and insight. The journal proved to be a key starting point for much of the analysis, guiding insight into the emotional Haltung’s of each period of fieldwork. </w:t>
      </w:r>
    </w:p>
    <w:p>
      <w:pPr>
        <w:pStyle w:val="TextBody"/>
        <w:spacing w:lineRule="auto" w:line="360"/>
        <w:rPr>
          <w:szCs w:val="24"/>
        </w:rPr>
      </w:pPr>
      <w:r>
        <w:rPr>
          <w:rFonts w:ascii="FreeSans" w:hAnsi="FreeSans"/>
        </w:rPr>
        <w:t xml:space="preserve">While this methodology provided unique analytic openings in the study of emotion in healthcare, it was not without its challenges and limitations. At times it was difficult to equally pay attention to both the experienced and embodied emotional experience and the socially and culturally constructed perception of emotion. Shifting between these paradigmatic perspectives necessitated a dual process, essentially doubling the coding and analytic leg work. Conceptually, this was managed by refocusing attention on examine what emotions do, both in the context of social interaction and as a product of private experiences.  </w:t>
      </w:r>
    </w:p>
    <w:p>
      <w:pPr>
        <w:pStyle w:val="TextBody"/>
        <w:spacing w:lineRule="auto" w:line="360"/>
        <w:rPr>
          <w:rFonts w:ascii="FreeSans" w:hAnsi="FreeSans"/>
        </w:rPr>
      </w:pPr>
      <w:r>
        <w:rPr>
          <w:rFonts w:ascii="FreeSans" w:hAnsi="FreeSans"/>
        </w:rPr>
      </w:r>
    </w:p>
    <w:p>
      <w:pPr>
        <w:pStyle w:val="Heading1"/>
        <w:rPr>
          <w:b/>
          <w:b/>
        </w:rPr>
      </w:pPr>
      <w:r>
        <w:rPr/>
        <w:t>Conclusion</w:t>
      </w:r>
    </w:p>
    <w:p>
      <w:pPr>
        <w:pStyle w:val="TextBody"/>
        <w:spacing w:lineRule="auto" w:line="360"/>
        <w:rPr/>
      </w:pPr>
      <w:r>
        <w:rPr>
          <w:rFonts w:ascii="FreeSans" w:hAnsi="FreeSans"/>
        </w:rPr>
        <w:t>This paper explored how analytical plurality can aid the study and understanding of emotions</w:t>
      </w:r>
      <w:bookmarkStart w:id="86" w:name="_GoBack"/>
      <w:bookmarkEnd w:id="86"/>
      <w:r>
        <w:rPr>
          <w:rFonts w:ascii="FreeSans" w:hAnsi="FreeSans"/>
        </w:rPr>
        <w:t xml:space="preserve">. Specifically, it describes the methodological decisions in an ethnography exploring emotions in palliative care. It is important to consider the benefit of paradigmatic multiplicities in the study of such a nebulous and transient happening as emotion to ‘[think] difference differently, [and] reappropriate available contradictory scripts to create alternative practices of research as a site of being and becoming’ </w:t>
      </w:r>
      <w:r>
        <w:fldChar w:fldCharType="begin"/>
      </w:r>
      <w:r>
        <w:rPr/>
        <w:instrText>ADDIN EN.CITE &lt;EndNote&gt;&lt;Cite&gt;&lt;Author&gt;Lather&lt;/Author&gt;&lt;Year&gt;2006&lt;/Year&gt;&lt;RecNum&gt;485&lt;/RecNum&gt;&lt;Pages&gt;52&lt;/Pages&gt;&lt;DisplayText&gt;(Lather 2006)&lt;/DisplayText&gt;&lt;record&gt;&lt;rec-number&gt;485&lt;/rec-number&gt;&lt;foreign-keys&gt;&lt;key app="EN" db-id="tp225fswxt9vame0rpbpsxebfwfxdwz9x5tx" timestamp="1508909188"&gt;485&lt;/key&gt;&lt;/foreign-keys&gt;&lt;ref-type name="Journal Article"&gt;17&lt;/ref-type&gt;&lt;contributors&gt;&lt;authors&gt;&lt;author&gt;Lather, Patti&lt;/author&gt;&lt;/authors&gt;&lt;/contributors&gt;&lt;titles&gt;&lt;title&gt;Paradigm proliferation as a good thing to think with: Teaching research in education as a wild profusion&lt;/title&gt;&lt;secondary-title&gt;International journal of qualitative studies in education&lt;/secondary-title&gt;&lt;/titles&gt;&lt;periodical&gt;&lt;full-title&gt;International Journal of Qualitative Studies in Education&lt;/full-title&gt;&lt;/periodical&gt;&lt;pages&gt;35-57&lt;/pages&gt;&lt;volume&gt;19&lt;/volume&gt;&lt;number&gt;1&lt;/number&gt;&lt;dates&gt;&lt;year&gt;2006&lt;/year&gt;&lt;/dates&gt;&lt;isbn&gt;0951-8398&lt;/isbn&gt;&lt;urls&gt;&lt;/urls&gt;&lt;/record&gt;&lt;/Cite&gt;&lt;/EndNote&gt;</w:instrText>
      </w:r>
      <w:r>
        <w:rPr/>
        <w:fldChar w:fldCharType="separate"/>
      </w:r>
      <w:bookmarkStart w:id="87" w:name="__Fieldmark__22623_1677319845"/>
      <w:r>
        <w:rPr/>
      </w:r>
      <w:r>
        <w:rPr>
          <w:rFonts w:ascii="FreeSans" w:hAnsi="FreeSans"/>
        </w:rPr>
        <w:t>(</w:t>
      </w:r>
      <w:bookmarkStart w:id="88" w:name="__Fieldmark__17725_2090204579"/>
      <w:r>
        <w:rPr>
          <w:rFonts w:ascii="FreeSans" w:hAnsi="FreeSans"/>
        </w:rPr>
        <w:t>Lather 2006)</w:t>
      </w:r>
      <w:r>
        <w:rPr/>
      </w:r>
      <w:r>
        <w:rPr/>
        <w:fldChar w:fldCharType="end"/>
      </w:r>
      <w:bookmarkEnd w:id="87"/>
      <w:bookmarkEnd w:id="88"/>
      <w:r>
        <w:rPr>
          <w:rFonts w:ascii="FreeSans" w:hAnsi="FreeSans"/>
        </w:rPr>
        <w:t xml:space="preserve">. </w:t>
      </w:r>
    </w:p>
    <w:p>
      <w:pPr>
        <w:pStyle w:val="TextBody"/>
        <w:spacing w:lineRule="auto" w:line="360"/>
        <w:rPr>
          <w:rFonts w:ascii="FreeSans" w:hAnsi="FreeSans"/>
        </w:rPr>
      </w:pPr>
      <w:r>
        <w:rPr>
          <w:rFonts w:ascii="FreeSans" w:hAnsi="FreeSans"/>
        </w:rPr>
      </w:r>
    </w:p>
    <w:p>
      <w:pPr>
        <w:pStyle w:val="Heading1"/>
        <w:rPr>
          <w:b/>
          <w:b/>
          <w:szCs w:val="24"/>
        </w:rPr>
      </w:pPr>
      <w:r>
        <w:rPr/>
        <w:t xml:space="preserve">Acknowledgments </w:t>
      </w:r>
    </w:p>
    <w:p>
      <w:pPr>
        <w:pStyle w:val="TextBody"/>
        <w:spacing w:lineRule="auto" w:line="360"/>
        <w:rPr>
          <w:szCs w:val="24"/>
        </w:rPr>
      </w:pPr>
      <w:r>
        <w:rPr>
          <w:rFonts w:ascii="FreeSans" w:hAnsi="FreeSans"/>
        </w:rPr>
        <w:t xml:space="preserve">Sincere thanks to the nurses, doctors and staff at the community health centre where this study was conducted, without whose inspiring and brilliant work this would not have been possible. </w:t>
      </w:r>
      <w:r>
        <w:br w:type="page"/>
      </w:r>
    </w:p>
    <w:p>
      <w:pPr>
        <w:pStyle w:val="Heading1"/>
        <w:rPr>
          <w:b/>
          <w:b/>
        </w:rPr>
      </w:pPr>
      <w:r>
        <w:rPr/>
        <w:t>References</w:t>
      </w:r>
    </w:p>
    <w:p>
      <w:pPr>
        <w:pStyle w:val="TextBody"/>
        <w:spacing w:lineRule="auto" w:line="360"/>
        <w:rPr/>
      </w:pPr>
      <w:r>
        <w:fldChar w:fldCharType="begin"/>
      </w:r>
      <w:r>
        <w:rPr/>
        <w:instrText>ADDIN EN.REFLIST</w:instrText>
      </w:r>
      <w:r>
        <w:rPr/>
        <w:fldChar w:fldCharType="separate"/>
      </w:r>
      <w:bookmarkStart w:id="89" w:name="__Fieldmark__22634_1677319845"/>
      <w:r>
        <w:rPr/>
      </w:r>
      <w:r>
        <w:rPr>
          <w:rFonts w:ascii="FreeSans" w:hAnsi="FreeSans"/>
        </w:rPr>
        <w:t>Abiven, M. (1991). "Dying with dignity." World Health Forum 12(4): 375-381; discussion 382-398.</w:t>
      </w:r>
      <w:r>
        <w:rPr>
          <w:rFonts w:ascii="FreeSans" w:hAnsi="FreeSans"/>
        </w:rPr>
      </w:r>
      <w:r>
        <w:rPr>
          <w:rFonts w:ascii="FreeSans" w:hAnsi="FreeSans"/>
        </w:rPr>
        <w:fldChar w:fldCharType="end"/>
      </w:r>
      <w:bookmarkEnd w:id="89"/>
    </w:p>
    <w:p>
      <w:pPr>
        <w:pStyle w:val="TextBody"/>
        <w:spacing w:lineRule="auto" w:line="360" w:before="0" w:after="0"/>
        <w:rPr>
          <w:rFonts w:ascii="FreeSans" w:hAnsi="FreeSans"/>
        </w:rPr>
      </w:pPr>
      <w:r>
        <w:rPr>
          <w:rFonts w:ascii="FreeSans" w:hAnsi="FreeSans"/>
        </w:rPr>
      </w:r>
      <w:bookmarkStart w:id="90" w:name="__Fieldmark__17739_2090204579"/>
      <w:bookmarkStart w:id="91" w:name="__Fieldmark__17739_2090204579"/>
      <w:bookmarkEnd w:id="91"/>
    </w:p>
    <w:p>
      <w:pPr>
        <w:pStyle w:val="TextBody"/>
        <w:spacing w:lineRule="auto" w:line="360" w:before="0" w:after="0"/>
        <w:rPr>
          <w:rFonts w:ascii="FreeSans" w:hAnsi="FreeSans"/>
        </w:rPr>
      </w:pPr>
      <w:r>
        <w:rPr>
          <w:rFonts w:ascii="FreeSans" w:hAnsi="FreeSans"/>
        </w:rPr>
        <w:t>Ahmed, S. (2004). "Collective feelings: Or, the impressions left by others." Theory, culture &amp; society 21(2): 25-42.</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Ahmed, S. (2013). The cultural politics of emotion, Routledge.</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Alvesson, M. and K. Sköldberg (2017). Reflexive methodology: New vistas for qualitative research, Sage.</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Beatty, A. (2010). "How did it feel for you? Emotion, narrative, and the limits of ethnography." American Anthropologist 112(3): 430-443.</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Brannan, M. J. (2012). "Researching emotions and the emotions of researching: The strange case of alexithymia in reflexive research." International Journal of Work Organisation and Emotion 4(3): 322-339.</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Braunmühl, C. (2012). "Theorizing emotions with Judith Butler: Within and beyond the courtroom." Rethinking History 16(2): 221-240.</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Brazil, K., S. Kassalainen, J. Ploeg and D. Marshall (2010). "Moral distress experienced by health care professionals who provide home-based palliative care." Social science &amp; medicine 71(9): 1687-1691.</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Byrne, M. (2001). "Critical incident technique as a qualitative research method." AORN journal 74(4): 536-539.</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Chochinov, H. M. (2002). "Dignity-conserving cre - A new model for palliative care - Helping the patient feel valued." Jama-Journal of the American Medical Association 287(17): 2253-2260.</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Cornelius, R. R. (1996). The science of emotion: Research and tradition in the psychology of emotions, Prentice-Hall, Inc.</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Elfenbein, H. A. (2007). "7 Emotion in Organizations: A Review and Theoretical Integration." The academy of management annals 1(1): 315-386.</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Finlay, I. (2003). "Dying with dignity." Clinical Medicine 3(2): 102-103.</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Finlay, L. (2002). "“Outing” the researcher: The provenance, process, and practice of reflexivity." Qualitative health research 12(4): 531-545.</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Forgas, J. P. and C. Smith (2007). Affect and emotion. The SAGE handbook of social psychology. M. A. H. J. Cooper. London, SAGE Publications Ltd: 146-175.</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Foucault, M. (1982). "The subject and power." Critical inquiry 8(4): 777-795.</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Foucault, M. (1987). "The Ethic of Care for the Self as a Practice of Freedom: An Interview with Michel Foucault on January 20, 1984 in The Final Foucault: Studies on Michel Foucault's Last Works." Philosophy &amp; social criticism 12(2-3): 112-131.</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Gray, B. and P. Smith (2009). "Emotional labour and the clinical settings of nursing care: The perspectives of nurses in East London." Nurse Education in Practice 9(4): 253-261.</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Hammersley, M. and P. Atkinson (2007). Ethnography: Principles in practice, Routledge.</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Harding, J. and E. D. Pribram (2004). "Losing our cool? Following Williams and Grossberg on emotions." Cultural Studies 18(6): 863-883.</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Harrington, S. E. and T. J. Smith (2008). "The role of chemotherapy at the end of life:“when is enough, enough?”." Jama 299(22): 2667-2678.</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Holloway, I. and D. Freshwater (2007). "Vulnerable story telling: Narrative research in nursing." Journal of Research in Nursing 12(6): 703-711.</w:t>
      </w:r>
    </w:p>
    <w:p>
      <w:pPr>
        <w:pStyle w:val="TextBody"/>
        <w:spacing w:lineRule="auto" w:line="360" w:before="0" w:after="0"/>
        <w:rPr>
          <w:rFonts w:ascii="FreeSans" w:hAnsi="FreeSans"/>
        </w:rPr>
      </w:pPr>
      <w:r>
        <w:rPr>
          <w:rFonts w:ascii="FreeSans" w:hAnsi="FreeSans"/>
        </w:rPr>
        <w:t>Holmes, M. (2004). "Feeling beyond rules: Politicizing the sociology of emotion and anger in feminist politics." European Journal of Social Theory 7(2): 209-227.</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Lather, P. (2006). "Paradigm proliferation as a good thing to think with: Teaching research in education as a wild profusion." International journal of qualitative studies in education 19(1): 35-57.</w:t>
      </w:r>
    </w:p>
    <w:p>
      <w:pPr>
        <w:pStyle w:val="TextBody"/>
        <w:spacing w:lineRule="auto" w:line="36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Li, S. and A. Arber (2006). "The construction of troubled and credible patients: a study of emotion talk in palliative care settings." Qualitative health research 16(1): 27-46.</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Lutz, C. A. and L. E. Abu-Lughod (1990). Language and the politics of emotion. This book grew out of a session at the 1987 annual meeting of the American Anthropological Association called" Emotion and Discourse.", Editions de la Maison des Sciences de l'Homme.</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Mitchell, J. P. (1997). "A moment with Christ: The importance of feelings in the analysis of belief." Journal of the Royal Anthropological Institute: 79-94.</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Parkinson, B. (1995). Ideas and realities of emotion, Psychology Press.</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Pile, S. (2010). "Emotions and affect in recent human geography." Transactions of the Institute of British Geographers 35(1): 5-20.</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Pillow, W. (2003). "Confession, catharsis, or cure? Rethinking the uses of reflexivity as methodological power in qualitative research." International Journal of Qualitative Studies in Education 16(2): 175-196.</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Riessman, C. K. (2005). Narrative analysis, University of Huddersfield.</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Riley, R. and M. C. Weiss (2016). "A qualitative thematic review: emotional labour in healthcare settings." Journal of advanced nursing 72(1): 6-17.</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Robichaud, A. L. (2003). "Healing and feeling: the clinical ontology of emotion." Bioethics 17(1): 59-68.</w:t>
      </w:r>
    </w:p>
    <w:p>
      <w:pPr>
        <w:pStyle w:val="TextBody"/>
        <w:spacing w:lineRule="auto" w:line="36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Rosaldo, M. (1984). "Toward an anthropology of self and feeling." Culture theory: Essays on mind, self, and emotion.</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Rose, N. (1998). Inventing our selves: Psychology, power, and personhood, Cambridge University Press.</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Sampson, C. and P. Atkinson (2011). "Accounting for discovery: Genetic scientists’ narratives." Narrative Inquiry 21(1): 88-108.</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Savage, J. (2004). "Researching emotion: the need for coherence between focus, theory and methodology." Nursing inquiry 11(1): 25-34.</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Shott, S. (1979). "Emotion and social life: A symbolic interactionist analysis." American journal of Sociology: 1317-1334.</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Vindrola-Padros, C. and G. A. Johnson (2014). "The narrated, nonnarrated, and the disnarrated: conceptual tools for analyzing narratives in health services research." Qualitative health research 24(11): 1603-1611.</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Weissman, D. E. (2009). "Moral Distress in Palliative Care." Journal of Palliative Medicine 12(10): 865-866.</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Zembylas, M. (2005). "Discursive practices, genealogies, and emotional rules: A poststructuralist view on emotion and identity in teaching." Teaching and teacher education 21(8): 935-948.</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Zembylas, M. (2011). Teaching and teacher emotions: A post-structural perspective. New Understandings of Teacher's Work, Springer: 31-43.</w:t>
      </w:r>
    </w:p>
    <w:p>
      <w:pPr>
        <w:pStyle w:val="TextBody"/>
        <w:spacing w:lineRule="auto" w:line="360" w:before="0" w:after="0"/>
        <w:rPr/>
      </w:pPr>
      <w:r>
        <w:rPr/>
      </w:r>
    </w:p>
    <w:sectPr>
      <w:footerReference w:type="default" r:id="rId2"/>
      <w:type w:val="nextPage"/>
      <w:pgSz w:w="11906" w:h="16838"/>
      <w:pgMar w:left="1418" w:right="1418" w:header="0" w:top="1418" w:footer="709"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FreeSans">
    <w:charset w:val="01"/>
    <w:family w:val="roman"/>
    <w:pitch w:val="variable"/>
  </w:font>
  <w:font w:name="Calibri Light">
    <w:charset w:val="01"/>
    <w:family w:val="roman"/>
    <w:pitch w:val="variable"/>
  </w:font>
  <w:font w:name="Georgia">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980784567"/>
    </w:sdtPr>
    <w:sdtContent>
      <w:p>
        <w:pPr>
          <w:pStyle w:val="Footer"/>
          <w:jc w:val="center"/>
          <w:rPr/>
        </w:pPr>
        <w:r>
          <w:rPr/>
          <w:t xml:space="preserve">Page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15</w:t>
        </w:r>
        <w:r>
          <w:rPr>
            <w:sz w:val="24"/>
            <w:b/>
            <w:szCs w:val="24"/>
            <w:bCs/>
          </w:rPr>
          <w:fldChar w:fldCharType="end"/>
        </w:r>
        <w:r>
          <w:rPr/>
          <w:t xml:space="preserve"> of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15</w:t>
        </w:r>
        <w:r>
          <w:rPr>
            <w:sz w:val="24"/>
            <w:b/>
            <w:szCs w:val="24"/>
            <w:bCs/>
          </w:rPr>
          <w:fldChar w:fldCharType="end"/>
        </w:r>
      </w:p>
    </w:sdtContent>
  </w:sdt>
</w:ftr>
</file>

<file path=word/settings.xml><?xml version="1.0" encoding="utf-8"?>
<w:settings xmlns:w="http://schemas.openxmlformats.org/wordprocessingml/2006/main">
  <w:zoom w:percent="81"/>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AU"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b6aac"/>
    <w:pPr>
      <w:widowControl/>
      <w:bidi w:val="0"/>
      <w:spacing w:lineRule="auto" w:line="240" w:before="0" w:after="0"/>
      <w:jc w:val="both"/>
    </w:pPr>
    <w:rPr>
      <w:rFonts w:ascii="Times New Roman" w:hAnsi="Times New Roman" w:eastAsia="Calibri" w:cs="" w:cstheme="minorBidi" w:eastAsiaTheme="minorHAnsi"/>
      <w:color w:val="auto"/>
      <w:kern w:val="0"/>
      <w:sz w:val="24"/>
      <w:szCs w:val="22"/>
      <w:lang w:val="en-AU" w:eastAsia="en-US" w:bidi="ar-SA"/>
    </w:rPr>
  </w:style>
  <w:style w:type="paragraph" w:styleId="Heading1">
    <w:name w:val="Heading 1"/>
    <w:basedOn w:val="Normal"/>
    <w:next w:val="Normal"/>
    <w:link w:val="Heading1Char"/>
    <w:uiPriority w:val="9"/>
    <w:qFormat/>
    <w:rsid w:val="00b2353b"/>
    <w:pPr>
      <w:keepNext w:val="true"/>
      <w:keepLines/>
      <w:spacing w:lineRule="auto" w:line="360"/>
      <w:outlineLvl w:val="0"/>
    </w:pPr>
    <w:rPr>
      <w:rFonts w:ascii="FreeSans" w:hAnsi="FreeSans" w:eastAsia="" w:cs="" w:cstheme="majorBidi" w:eastAsiaTheme="majorEastAsia"/>
      <w:b/>
      <w:bCs/>
      <w:sz w:val="36"/>
      <w:szCs w:val="36"/>
    </w:rPr>
  </w:style>
  <w:style w:type="paragraph" w:styleId="Heading2">
    <w:name w:val="Heading 2"/>
    <w:basedOn w:val="Normal"/>
    <w:next w:val="Normal"/>
    <w:link w:val="Heading2Char"/>
    <w:uiPriority w:val="9"/>
    <w:unhideWhenUsed/>
    <w:qFormat/>
    <w:rsid w:val="00b2353b"/>
    <w:pPr>
      <w:keepNext w:val="true"/>
      <w:keepLines/>
      <w:spacing w:lineRule="auto" w:line="360"/>
      <w:outlineLvl w:val="1"/>
    </w:pPr>
    <w:rPr>
      <w:rFonts w:ascii="FreeSans" w:hAnsi="FreeSans" w:eastAsia="" w:cs="" w:cstheme="majorBidi" w:eastAsiaTheme="majorEastAsia"/>
      <w:b/>
      <w:bCs/>
      <w:i w:val="false"/>
      <w:iCs w:val="false"/>
      <w:sz w:val="32"/>
      <w:szCs w:val="32"/>
    </w:rPr>
  </w:style>
  <w:style w:type="paragraph" w:styleId="Heading3">
    <w:name w:val="Heading 3"/>
    <w:basedOn w:val="Normal"/>
    <w:next w:val="Normal"/>
    <w:link w:val="Heading3Char"/>
    <w:uiPriority w:val="9"/>
    <w:unhideWhenUsed/>
    <w:qFormat/>
    <w:rsid w:val="00b2353b"/>
    <w:pPr>
      <w:keepNext w:val="true"/>
      <w:keepLines/>
      <w:outlineLvl w:val="2"/>
    </w:pPr>
    <w:rPr>
      <w:rFonts w:eastAsia="" w:cs="" w:cstheme="majorBidi" w:eastAsiaTheme="majorEastAsia"/>
      <w:i/>
      <w:szCs w:val="24"/>
    </w:rPr>
  </w:style>
  <w:style w:type="paragraph" w:styleId="Heading4">
    <w:name w:val="Heading 4"/>
    <w:basedOn w:val="Normal"/>
    <w:next w:val="Normal"/>
    <w:link w:val="Heading4Char"/>
    <w:uiPriority w:val="9"/>
    <w:semiHidden/>
    <w:unhideWhenUsed/>
    <w:qFormat/>
    <w:rsid w:val="004f64b6"/>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b2353b"/>
    <w:rPr>
      <w:rFonts w:ascii="Times New Roman" w:hAnsi="Times New Roman" w:eastAsia="" w:cs="" w:cstheme="majorBidi" w:eastAsiaTheme="majorEastAsia"/>
      <w:b/>
      <w:sz w:val="24"/>
      <w:szCs w:val="32"/>
    </w:rPr>
  </w:style>
  <w:style w:type="character" w:styleId="Heading2Char" w:customStyle="1">
    <w:name w:val="Heading 2 Char"/>
    <w:basedOn w:val="DefaultParagraphFont"/>
    <w:link w:val="Heading2"/>
    <w:uiPriority w:val="9"/>
    <w:qFormat/>
    <w:rsid w:val="00b2353b"/>
    <w:rPr>
      <w:rFonts w:ascii="Times New Roman" w:hAnsi="Times New Roman" w:eastAsia="" w:cs="" w:cstheme="majorBidi" w:eastAsiaTheme="majorEastAsia"/>
      <w:b/>
      <w:i/>
      <w:sz w:val="24"/>
      <w:szCs w:val="26"/>
    </w:rPr>
  </w:style>
  <w:style w:type="character" w:styleId="TitleChar" w:customStyle="1">
    <w:name w:val="Title Char"/>
    <w:basedOn w:val="DefaultParagraphFont"/>
    <w:link w:val="Title"/>
    <w:uiPriority w:val="10"/>
    <w:qFormat/>
    <w:rsid w:val="00b2353b"/>
    <w:rPr>
      <w:rFonts w:ascii="Times New Roman" w:hAnsi="Times New Roman" w:eastAsia="" w:cs="" w:cstheme="majorBidi" w:eastAsiaTheme="majorEastAsia"/>
      <w:b/>
      <w:spacing w:val="-10"/>
      <w:kern w:val="2"/>
      <w:sz w:val="24"/>
      <w:szCs w:val="56"/>
    </w:rPr>
  </w:style>
  <w:style w:type="character" w:styleId="FooterChar" w:customStyle="1">
    <w:name w:val="Footer Char"/>
    <w:basedOn w:val="DefaultParagraphFont"/>
    <w:link w:val="Footer"/>
    <w:uiPriority w:val="99"/>
    <w:qFormat/>
    <w:rsid w:val="0056447f"/>
    <w:rPr>
      <w:rFonts w:ascii="Georgia" w:hAnsi="Georgia"/>
      <w:sz w:val="16"/>
    </w:rPr>
  </w:style>
  <w:style w:type="character" w:styleId="HeaderChar" w:customStyle="1">
    <w:name w:val="Header Char"/>
    <w:basedOn w:val="DefaultParagraphFont"/>
    <w:link w:val="Header"/>
    <w:uiPriority w:val="99"/>
    <w:qFormat/>
    <w:rsid w:val="0056447f"/>
    <w:rPr>
      <w:rFonts w:ascii="Georgia" w:hAnsi="Georgia"/>
      <w:sz w:val="16"/>
    </w:rPr>
  </w:style>
  <w:style w:type="character" w:styleId="SubtitleChar" w:customStyle="1">
    <w:name w:val="Subtitle Char"/>
    <w:basedOn w:val="DefaultParagraphFont"/>
    <w:link w:val="Subtitle"/>
    <w:uiPriority w:val="11"/>
    <w:qFormat/>
    <w:rsid w:val="00377db4"/>
    <w:rPr>
      <w:rFonts w:ascii="Georgia" w:hAnsi="Georgia" w:eastAsia="" w:eastAsiaTheme="minorEastAsia"/>
      <w:color w:val="780000"/>
      <w:spacing w:val="15"/>
      <w:sz w:val="24"/>
    </w:rPr>
  </w:style>
  <w:style w:type="character" w:styleId="Heading3Char" w:customStyle="1">
    <w:name w:val="Heading 3 Char"/>
    <w:basedOn w:val="DefaultParagraphFont"/>
    <w:link w:val="Heading3"/>
    <w:uiPriority w:val="9"/>
    <w:qFormat/>
    <w:rsid w:val="00b2353b"/>
    <w:rPr>
      <w:rFonts w:ascii="Times New Roman" w:hAnsi="Times New Roman" w:eastAsia="" w:cs="" w:cstheme="majorBidi" w:eastAsiaTheme="majorEastAsia"/>
      <w:i/>
      <w:sz w:val="24"/>
      <w:szCs w:val="24"/>
    </w:rPr>
  </w:style>
  <w:style w:type="character" w:styleId="EndNoteBibliographyTitleChar" w:customStyle="1">
    <w:name w:val="EndNote Bibliography Title Char"/>
    <w:basedOn w:val="DefaultParagraphFont"/>
    <w:link w:val="EndNoteBibliographyTitle"/>
    <w:qFormat/>
    <w:rsid w:val="00640b60"/>
    <w:rPr>
      <w:rFonts w:ascii="Times New Roman" w:hAnsi="Times New Roman" w:cs="Times New Roman"/>
      <w:sz w:val="24"/>
      <w:lang w:val="en-US"/>
    </w:rPr>
  </w:style>
  <w:style w:type="character" w:styleId="EndNoteBibliographyChar" w:customStyle="1">
    <w:name w:val="EndNote Bibliography Char"/>
    <w:basedOn w:val="DefaultParagraphFont"/>
    <w:link w:val="EndNoteBibliography"/>
    <w:qFormat/>
    <w:rsid w:val="00640b60"/>
    <w:rPr>
      <w:rFonts w:ascii="Times New Roman" w:hAnsi="Times New Roman" w:cs="Times New Roman"/>
      <w:sz w:val="24"/>
      <w:lang w:val="en-US"/>
    </w:rPr>
  </w:style>
  <w:style w:type="character" w:styleId="InternetLink">
    <w:name w:val="Internet Link"/>
    <w:basedOn w:val="DefaultParagraphFont"/>
    <w:uiPriority w:val="99"/>
    <w:unhideWhenUsed/>
    <w:rsid w:val="00c8258a"/>
    <w:rPr>
      <w:color w:val="0563C1" w:themeColor="hyperlink"/>
      <w:u w:val="single"/>
    </w:rPr>
  </w:style>
  <w:style w:type="character" w:styleId="UnresolvedMention1" w:customStyle="1">
    <w:name w:val="Unresolved Mention1"/>
    <w:basedOn w:val="DefaultParagraphFont"/>
    <w:uiPriority w:val="99"/>
    <w:semiHidden/>
    <w:unhideWhenUsed/>
    <w:qFormat/>
    <w:rsid w:val="00c27cba"/>
    <w:rPr>
      <w:color w:val="808080"/>
      <w:shd w:fill="E6E6E6" w:val="clear"/>
    </w:rPr>
  </w:style>
  <w:style w:type="character" w:styleId="Annotationreference">
    <w:name w:val="annotation reference"/>
    <w:basedOn w:val="DefaultParagraphFont"/>
    <w:uiPriority w:val="99"/>
    <w:semiHidden/>
    <w:unhideWhenUsed/>
    <w:qFormat/>
    <w:rsid w:val="008c079e"/>
    <w:rPr>
      <w:sz w:val="16"/>
      <w:szCs w:val="16"/>
    </w:rPr>
  </w:style>
  <w:style w:type="character" w:styleId="CommentTextChar" w:customStyle="1">
    <w:name w:val="Comment Text Char"/>
    <w:basedOn w:val="DefaultParagraphFont"/>
    <w:link w:val="CommentText"/>
    <w:uiPriority w:val="99"/>
    <w:qFormat/>
    <w:rsid w:val="008c079e"/>
    <w:rPr>
      <w:rFonts w:ascii="Georgia" w:hAnsi="Georgia"/>
      <w:sz w:val="20"/>
      <w:szCs w:val="20"/>
    </w:rPr>
  </w:style>
  <w:style w:type="character" w:styleId="CommentSubjectChar" w:customStyle="1">
    <w:name w:val="Comment Subject Char"/>
    <w:basedOn w:val="CommentTextChar"/>
    <w:link w:val="CommentSubject"/>
    <w:uiPriority w:val="99"/>
    <w:semiHidden/>
    <w:qFormat/>
    <w:rsid w:val="008c079e"/>
    <w:rPr>
      <w:rFonts w:ascii="Georgia" w:hAnsi="Georgia"/>
      <w:b/>
      <w:bCs/>
      <w:sz w:val="20"/>
      <w:szCs w:val="20"/>
    </w:rPr>
  </w:style>
  <w:style w:type="character" w:styleId="BalloonTextChar" w:customStyle="1">
    <w:name w:val="Balloon Text Char"/>
    <w:basedOn w:val="DefaultParagraphFont"/>
    <w:link w:val="BalloonText"/>
    <w:uiPriority w:val="99"/>
    <w:semiHidden/>
    <w:qFormat/>
    <w:rsid w:val="008c079e"/>
    <w:rPr>
      <w:rFonts w:ascii="Segoe UI" w:hAnsi="Segoe UI" w:cs="Segoe UI"/>
      <w:sz w:val="18"/>
      <w:szCs w:val="18"/>
    </w:rPr>
  </w:style>
  <w:style w:type="character" w:styleId="UnresolvedMention2" w:customStyle="1">
    <w:name w:val="Unresolved Mention2"/>
    <w:basedOn w:val="DefaultParagraphFont"/>
    <w:uiPriority w:val="99"/>
    <w:semiHidden/>
    <w:unhideWhenUsed/>
    <w:qFormat/>
    <w:rsid w:val="00f44088"/>
    <w:rPr>
      <w:color w:val="808080"/>
      <w:shd w:fill="E6E6E6" w:val="clear"/>
    </w:rPr>
  </w:style>
  <w:style w:type="character" w:styleId="Heading4Char" w:customStyle="1">
    <w:name w:val="Heading 4 Char"/>
    <w:basedOn w:val="DefaultParagraphFont"/>
    <w:link w:val="Heading4"/>
    <w:uiPriority w:val="9"/>
    <w:semiHidden/>
    <w:qFormat/>
    <w:rsid w:val="004f64b6"/>
    <w:rPr>
      <w:rFonts w:ascii="Calibri Light" w:hAnsi="Calibri Light" w:eastAsia="" w:cs="" w:asciiTheme="majorHAnsi" w:cstheme="majorBidi" w:eastAsiaTheme="majorEastAsia" w:hAnsiTheme="majorHAnsi"/>
      <w:i/>
      <w:iCs/>
      <w:color w:val="2E74B5" w:themeColor="accent1" w:themeShade="bf"/>
      <w:sz w:val="24"/>
    </w:rPr>
  </w:style>
  <w:style w:type="character" w:styleId="QuoteChar" w:customStyle="1">
    <w:name w:val="Quote Char"/>
    <w:basedOn w:val="DefaultParagraphFont"/>
    <w:link w:val="Quote"/>
    <w:uiPriority w:val="29"/>
    <w:qFormat/>
    <w:rsid w:val="004f64b6"/>
    <w:rPr>
      <w:rFonts w:ascii="Times New Roman" w:hAnsi="Times New Roman" w:cs="Times New Roman"/>
      <w:i/>
      <w:iCs/>
      <w:sz w:val="24"/>
      <w:szCs w:val="24"/>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b2353b"/>
    <w:pPr>
      <w:spacing w:lineRule="auto" w:line="276" w:before="0" w:after="0"/>
      <w:contextualSpacing/>
      <w:jc w:val="center"/>
    </w:pPr>
    <w:rPr>
      <w:rFonts w:ascii="FreeSans" w:hAnsi="FreeSans" w:eastAsia="" w:cs="" w:cstheme="majorBidi" w:eastAsiaTheme="majorEastAsia"/>
      <w:b/>
      <w:bCs/>
      <w:spacing w:val="-10"/>
      <w:kern w:val="2"/>
      <w:sz w:val="56"/>
      <w:szCs w:val="56"/>
    </w:rPr>
  </w:style>
  <w:style w:type="paragraph" w:styleId="BlockText">
    <w:name w:val="Block Text"/>
    <w:basedOn w:val="Normal"/>
    <w:uiPriority w:val="99"/>
    <w:unhideWhenUsed/>
    <w:qFormat/>
    <w:rsid w:val="00e45fea"/>
    <w:pPr>
      <w:spacing w:before="120" w:after="120"/>
      <w:ind w:left="1151" w:right="1151" w:hanging="0"/>
    </w:pPr>
    <w:rPr>
      <w:rFonts w:eastAsia="" w:eastAsiaTheme="minorEastAsia"/>
      <w:iCs/>
    </w:rPr>
  </w:style>
  <w:style w:type="paragraph" w:styleId="Footer">
    <w:name w:val="Footer"/>
    <w:basedOn w:val="Normal"/>
    <w:link w:val="FooterChar"/>
    <w:uiPriority w:val="99"/>
    <w:unhideWhenUsed/>
    <w:rsid w:val="0056447f"/>
    <w:pPr>
      <w:tabs>
        <w:tab w:val="center" w:pos="4513" w:leader="none"/>
        <w:tab w:val="right" w:pos="9026" w:leader="none"/>
      </w:tabs>
    </w:pPr>
    <w:rPr>
      <w:sz w:val="16"/>
    </w:rPr>
  </w:style>
  <w:style w:type="paragraph" w:styleId="Header">
    <w:name w:val="Header"/>
    <w:basedOn w:val="Normal"/>
    <w:link w:val="HeaderChar"/>
    <w:uiPriority w:val="99"/>
    <w:unhideWhenUsed/>
    <w:rsid w:val="0056447f"/>
    <w:pPr>
      <w:tabs>
        <w:tab w:val="center" w:pos="4513" w:leader="none"/>
        <w:tab w:val="right" w:pos="9026" w:leader="none"/>
      </w:tabs>
    </w:pPr>
    <w:rPr>
      <w:sz w:val="16"/>
    </w:rPr>
  </w:style>
  <w:style w:type="paragraph" w:styleId="Subtitle">
    <w:name w:val="Subtitle"/>
    <w:basedOn w:val="Normal"/>
    <w:next w:val="Normal"/>
    <w:link w:val="SubtitleChar"/>
    <w:uiPriority w:val="11"/>
    <w:qFormat/>
    <w:rsid w:val="00377db4"/>
    <w:pPr>
      <w:spacing w:lineRule="auto" w:line="240"/>
      <w:jc w:val="center"/>
    </w:pPr>
    <w:rPr>
      <w:rFonts w:ascii="FreeSans" w:hAnsi="FreeSans" w:eastAsia="" w:eastAsiaTheme="minorEastAsia"/>
      <w:color w:val="780000"/>
      <w:spacing w:val="15"/>
      <w:sz w:val="32"/>
      <w:szCs w:val="32"/>
    </w:rPr>
  </w:style>
  <w:style w:type="paragraph" w:styleId="ListParagraph">
    <w:name w:val="List Paragraph"/>
    <w:basedOn w:val="Normal"/>
    <w:uiPriority w:val="34"/>
    <w:qFormat/>
    <w:rsid w:val="00db1390"/>
    <w:pPr>
      <w:spacing w:before="0" w:after="0"/>
      <w:ind w:left="720" w:hanging="0"/>
      <w:contextualSpacing/>
    </w:pPr>
    <w:rPr>
      <w:rFonts w:eastAsia="Arial" w:cs="Arial"/>
      <w:lang w:eastAsia="en-AU"/>
    </w:rPr>
  </w:style>
  <w:style w:type="paragraph" w:styleId="EndNoteBibliographyTitle" w:customStyle="1">
    <w:name w:val="EndNote Bibliography Title"/>
    <w:basedOn w:val="Normal"/>
    <w:link w:val="EndNoteBibliographyTitleChar"/>
    <w:qFormat/>
    <w:rsid w:val="00640b60"/>
    <w:pPr>
      <w:jc w:val="center"/>
    </w:pPr>
    <w:rPr>
      <w:rFonts w:cs="Times New Roman"/>
      <w:lang w:val="en-US"/>
    </w:rPr>
  </w:style>
  <w:style w:type="paragraph" w:styleId="EndNoteBibliography" w:customStyle="1">
    <w:name w:val="EndNote Bibliography"/>
    <w:basedOn w:val="Normal"/>
    <w:link w:val="EndNoteBibliographyChar"/>
    <w:qFormat/>
    <w:rsid w:val="00640b60"/>
    <w:pPr/>
    <w:rPr>
      <w:rFonts w:cs="Times New Roman"/>
      <w:lang w:val="en-US"/>
    </w:rPr>
  </w:style>
  <w:style w:type="paragraph" w:styleId="Annotationtext">
    <w:name w:val="annotation text"/>
    <w:basedOn w:val="Normal"/>
    <w:link w:val="CommentTextChar"/>
    <w:uiPriority w:val="99"/>
    <w:unhideWhenUsed/>
    <w:qFormat/>
    <w:rsid w:val="008c079e"/>
    <w:pPr/>
    <w:rPr>
      <w:szCs w:val="20"/>
    </w:rPr>
  </w:style>
  <w:style w:type="paragraph" w:styleId="Annotationsubject">
    <w:name w:val="annotation subject"/>
    <w:basedOn w:val="Annotationtext"/>
    <w:link w:val="CommentSubjectChar"/>
    <w:uiPriority w:val="99"/>
    <w:semiHidden/>
    <w:unhideWhenUsed/>
    <w:qFormat/>
    <w:rsid w:val="008c079e"/>
    <w:pPr/>
    <w:rPr>
      <w:b/>
      <w:bCs/>
    </w:rPr>
  </w:style>
  <w:style w:type="paragraph" w:styleId="BalloonText">
    <w:name w:val="Balloon Text"/>
    <w:basedOn w:val="Normal"/>
    <w:link w:val="BalloonTextChar"/>
    <w:uiPriority w:val="99"/>
    <w:semiHidden/>
    <w:unhideWhenUsed/>
    <w:qFormat/>
    <w:rsid w:val="008c079e"/>
    <w:pPr/>
    <w:rPr>
      <w:rFonts w:ascii="Segoe UI" w:hAnsi="Segoe UI" w:cs="Segoe UI"/>
      <w:sz w:val="18"/>
      <w:szCs w:val="18"/>
    </w:rPr>
  </w:style>
  <w:style w:type="paragraph" w:styleId="Revision">
    <w:name w:val="Revision"/>
    <w:uiPriority w:val="99"/>
    <w:semiHidden/>
    <w:qFormat/>
    <w:rsid w:val="009c34be"/>
    <w:pPr>
      <w:widowControl/>
      <w:bidi w:val="0"/>
      <w:spacing w:lineRule="auto" w:line="240" w:before="0" w:after="0"/>
      <w:jc w:val="left"/>
    </w:pPr>
    <w:rPr>
      <w:rFonts w:ascii="Times New Roman" w:hAnsi="Times New Roman" w:eastAsia="Calibri" w:cs="" w:cstheme="minorBidi" w:eastAsiaTheme="minorHAnsi"/>
      <w:color w:val="auto"/>
      <w:kern w:val="0"/>
      <w:sz w:val="24"/>
      <w:szCs w:val="22"/>
      <w:lang w:val="en-AU" w:eastAsia="en-US" w:bidi="ar-SA"/>
    </w:rPr>
  </w:style>
  <w:style w:type="paragraph" w:styleId="Quote">
    <w:name w:val="Quote"/>
    <w:basedOn w:val="Normal"/>
    <w:next w:val="Normal"/>
    <w:link w:val="QuoteChar"/>
    <w:uiPriority w:val="29"/>
    <w:qFormat/>
    <w:rsid w:val="004f64b6"/>
    <w:pPr>
      <w:spacing w:lineRule="auto" w:line="360" w:before="200" w:after="160"/>
      <w:ind w:left="864" w:right="864" w:hanging="0"/>
    </w:pPr>
    <w:rPr>
      <w:rFonts w:cs="Times New Roman"/>
      <w:i/>
      <w:iCs/>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8d03d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98D94-676A-4398-965A-CB7E9000F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Application>LibreOffice/6.0.6.2$Linux_X86_64 LibreOffice_project/00m0$Build-2</Application>
  <Pages>15</Pages>
  <Words>4498</Words>
  <Characters>26268</Characters>
  <CharactersWithSpaces>30585</CharactersWithSpaces>
  <Paragraphs>86</Paragraphs>
  <Company>Anonymous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2018-10-24T23:55:00Z</dcterms:created>
  <dc:creator>Anonymous</dc:creator>
  <dc:description/>
  <dc:language>en-AU</dc:language>
  <cp:lastModifiedBy/>
  <dcterms:modified xsi:type="dcterms:W3CDTF">2018-11-28T14:19:25Z</dcterms:modified>
  <cp:revision>11</cp:revision>
  <dc:subject/>
  <dc:title>ACSPRI Conference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Anonymous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